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CA363" w14:textId="537BF303" w:rsidR="000E120B" w:rsidRPr="00A26F6C" w:rsidRDefault="000E120B" w:rsidP="000E120B">
      <w:pPr>
        <w:spacing w:before="120" w:line="276" w:lineRule="auto"/>
        <w:jc w:val="center"/>
        <w:rPr>
          <w:rFonts w:ascii="Calibri" w:hAnsi="Calibri" w:cs="Calibri"/>
          <w:lang w:val="pl-PL"/>
        </w:rPr>
      </w:pPr>
      <w:r w:rsidRPr="00A26F6C">
        <w:rPr>
          <w:rFonts w:ascii="Calibri" w:hAnsi="Calibri" w:cs="Calibri"/>
          <w:noProof/>
          <w:lang w:val="pl-PL"/>
        </w:rPr>
        <w:drawing>
          <wp:anchor distT="0" distB="0" distL="114300" distR="114300" simplePos="0" relativeHeight="251659264" behindDoc="1" locked="0" layoutInCell="1" allowOverlap="1" wp14:anchorId="03F87E29" wp14:editId="11487EA5">
            <wp:simplePos x="0" y="0"/>
            <wp:positionH relativeFrom="margin">
              <wp:align>center</wp:align>
            </wp:positionH>
            <wp:positionV relativeFrom="margin">
              <wp:posOffset>1089329</wp:posOffset>
            </wp:positionV>
            <wp:extent cx="6358890" cy="699135"/>
            <wp:effectExtent l="0" t="0" r="3810" b="5715"/>
            <wp:wrapSquare wrapText="bothSides"/>
            <wp:docPr id="210759889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890" cy="69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F6C">
        <w:rPr>
          <w:rFonts w:ascii="Calibri" w:hAnsi="Calibri" w:cs="Calibri"/>
          <w:lang w:val="pl-PL"/>
        </w:rPr>
        <w:t xml:space="preserve">Szkolenie on-line </w:t>
      </w:r>
      <w:bookmarkStart w:id="0" w:name="_Hlk136807625"/>
      <w:r w:rsidRPr="00A26F6C">
        <w:rPr>
          <w:rFonts w:ascii="Calibri" w:hAnsi="Calibri" w:cs="Calibri"/>
          <w:lang w:val="pl-PL"/>
        </w:rPr>
        <w:t xml:space="preserve">pn. </w:t>
      </w:r>
    </w:p>
    <w:p w14:paraId="42CE4D9F" w14:textId="622D1AE2" w:rsidR="004E26BE" w:rsidRDefault="00A36758" w:rsidP="004E26BE">
      <w:pPr>
        <w:spacing w:before="120" w:line="276" w:lineRule="auto"/>
        <w:ind w:right="-307"/>
        <w:jc w:val="center"/>
        <w:rPr>
          <w:rFonts w:ascii="Calibri" w:hAnsi="Calibri" w:cs="Calibri"/>
          <w:lang w:val="pl-PL"/>
        </w:rPr>
      </w:pPr>
      <w:bookmarkStart w:id="1" w:name="_Hlk138920966"/>
      <w:bookmarkEnd w:id="0"/>
      <w:r w:rsidRPr="00A36758">
        <w:rPr>
          <w:rFonts w:ascii="Calibri" w:hAnsi="Calibri" w:cs="Calibri"/>
          <w:lang w:val="pl-PL"/>
        </w:rPr>
        <w:t>„Polityki horyzontalne w ramach programu Fundusze Europejskie dla Podlaskiego 2021-2027”</w:t>
      </w:r>
    </w:p>
    <w:p w14:paraId="346CF783" w14:textId="77777777" w:rsidR="00A36758" w:rsidRDefault="00A36758" w:rsidP="004E26BE">
      <w:pPr>
        <w:spacing w:before="120" w:line="276" w:lineRule="auto"/>
        <w:ind w:right="-307"/>
        <w:jc w:val="center"/>
        <w:rPr>
          <w:rFonts w:ascii="Calibri" w:hAnsi="Calibri" w:cs="Calibri"/>
          <w:lang w:val="pl-PL"/>
        </w:rPr>
      </w:pPr>
    </w:p>
    <w:p w14:paraId="2DE3E253" w14:textId="77777777" w:rsidR="00A36758" w:rsidRPr="00AA6AB0" w:rsidRDefault="00A36758" w:rsidP="004E26BE">
      <w:pPr>
        <w:spacing w:before="120" w:line="276" w:lineRule="auto"/>
        <w:ind w:right="-307"/>
        <w:jc w:val="center"/>
        <w:rPr>
          <w:rFonts w:ascii="Calibri" w:hAnsi="Calibri" w:cs="Calibri"/>
          <w:b/>
          <w:bCs/>
          <w:sz w:val="8"/>
          <w:szCs w:val="8"/>
          <w:lang w:val="pl-PL"/>
        </w:rPr>
      </w:pPr>
    </w:p>
    <w:p w14:paraId="366F68EA" w14:textId="77777777" w:rsidR="000E120B" w:rsidRPr="00A26F6C" w:rsidRDefault="000E120B" w:rsidP="000E120B">
      <w:pPr>
        <w:spacing w:line="276" w:lineRule="auto"/>
        <w:rPr>
          <w:rFonts w:ascii="Calibri" w:hAnsi="Calibri" w:cs="Calibri"/>
          <w:b/>
          <w:bCs/>
          <w:lang w:val="pl-PL"/>
        </w:rPr>
      </w:pPr>
      <w:r w:rsidRPr="00A26F6C">
        <w:rPr>
          <w:rFonts w:ascii="Calibri" w:hAnsi="Calibri" w:cs="Calibri"/>
          <w:b/>
          <w:bCs/>
          <w:lang w:val="pl-PL"/>
        </w:rPr>
        <w:t>Trener: Mirosław Ciołek Szkolenia Specjalistyczne</w:t>
      </w:r>
    </w:p>
    <w:p w14:paraId="6B189ADE" w14:textId="77777777" w:rsidR="000E120B" w:rsidRPr="00AA6AB0" w:rsidRDefault="000E120B" w:rsidP="000E120B">
      <w:pPr>
        <w:spacing w:line="276" w:lineRule="auto"/>
        <w:rPr>
          <w:rFonts w:ascii="Calibri" w:hAnsi="Calibri" w:cs="Calibri"/>
          <w:sz w:val="6"/>
          <w:szCs w:val="6"/>
          <w:lang w:val="pl-PL"/>
        </w:rPr>
      </w:pPr>
    </w:p>
    <w:p w14:paraId="29FA29E4" w14:textId="77777777" w:rsidR="000E120B" w:rsidRPr="00A26F6C" w:rsidRDefault="000E120B" w:rsidP="000E120B">
      <w:pPr>
        <w:spacing w:line="276" w:lineRule="auto"/>
        <w:rPr>
          <w:rFonts w:ascii="Calibri" w:hAnsi="Calibri" w:cs="Calibri"/>
          <w:b/>
          <w:bCs/>
          <w:lang w:val="pl-PL"/>
        </w:rPr>
      </w:pPr>
      <w:r w:rsidRPr="00A26F6C">
        <w:rPr>
          <w:rFonts w:ascii="Calibri" w:hAnsi="Calibri" w:cs="Calibri"/>
          <w:b/>
          <w:bCs/>
          <w:lang w:val="pl-PL"/>
        </w:rPr>
        <w:t>Harmonogram:</w:t>
      </w:r>
    </w:p>
    <w:p w14:paraId="7D25D163" w14:textId="30BC9808" w:rsidR="000E120B" w:rsidRPr="00A26F6C" w:rsidRDefault="001A6ADF" w:rsidP="000E120B">
      <w:pPr>
        <w:spacing w:line="276" w:lineRule="auto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8</w:t>
      </w:r>
      <w:r w:rsidR="000E120B" w:rsidRPr="00A26F6C">
        <w:rPr>
          <w:rFonts w:ascii="Calibri" w:hAnsi="Calibri" w:cs="Calibri"/>
          <w:lang w:val="pl-PL"/>
        </w:rPr>
        <w:t xml:space="preserve">.00 rozpoczęcie szkolenia  </w:t>
      </w:r>
    </w:p>
    <w:p w14:paraId="2EDEC0B2" w14:textId="60DF9A0F" w:rsidR="000E120B" w:rsidRPr="00A26F6C" w:rsidRDefault="001A6ADF" w:rsidP="000E120B">
      <w:pPr>
        <w:spacing w:line="276" w:lineRule="auto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8</w:t>
      </w:r>
      <w:r w:rsidR="000E120B" w:rsidRPr="00A26F6C">
        <w:rPr>
          <w:rFonts w:ascii="Calibri" w:hAnsi="Calibri" w:cs="Calibri"/>
          <w:lang w:val="pl-PL"/>
        </w:rPr>
        <w:t>.00-</w:t>
      </w:r>
      <w:r>
        <w:rPr>
          <w:rFonts w:ascii="Calibri" w:hAnsi="Calibri" w:cs="Calibri"/>
          <w:lang w:val="pl-PL"/>
        </w:rPr>
        <w:t>9</w:t>
      </w:r>
      <w:r w:rsidR="000E120B" w:rsidRPr="00A26F6C">
        <w:rPr>
          <w:rFonts w:ascii="Calibri" w:hAnsi="Calibri" w:cs="Calibri"/>
          <w:lang w:val="pl-PL"/>
        </w:rPr>
        <w:t>.30  cz. merytoryczna</w:t>
      </w:r>
    </w:p>
    <w:p w14:paraId="32933EB6" w14:textId="1E168733" w:rsidR="000E120B" w:rsidRPr="00A26F6C" w:rsidRDefault="001A6ADF" w:rsidP="000E120B">
      <w:pPr>
        <w:spacing w:line="276" w:lineRule="auto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9</w:t>
      </w:r>
      <w:r w:rsidR="000E120B" w:rsidRPr="00A26F6C">
        <w:rPr>
          <w:rFonts w:ascii="Calibri" w:hAnsi="Calibri" w:cs="Calibri"/>
          <w:lang w:val="pl-PL"/>
        </w:rPr>
        <w:t>.30-</w:t>
      </w:r>
      <w:r>
        <w:rPr>
          <w:rFonts w:ascii="Calibri" w:hAnsi="Calibri" w:cs="Calibri"/>
          <w:lang w:val="pl-PL"/>
        </w:rPr>
        <w:t>9</w:t>
      </w:r>
      <w:r w:rsidR="000E120B" w:rsidRPr="00A26F6C">
        <w:rPr>
          <w:rFonts w:ascii="Calibri" w:hAnsi="Calibri" w:cs="Calibri"/>
          <w:lang w:val="pl-PL"/>
        </w:rPr>
        <w:t>.45 przerwa 15-minutowa</w:t>
      </w:r>
    </w:p>
    <w:p w14:paraId="55D9A1FC" w14:textId="72405EFF" w:rsidR="000E120B" w:rsidRPr="00A26F6C" w:rsidRDefault="001A6ADF" w:rsidP="000E120B">
      <w:pPr>
        <w:spacing w:line="276" w:lineRule="auto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9</w:t>
      </w:r>
      <w:r w:rsidR="000E120B" w:rsidRPr="00A26F6C">
        <w:rPr>
          <w:rFonts w:ascii="Calibri" w:hAnsi="Calibri" w:cs="Calibri"/>
          <w:lang w:val="pl-PL"/>
        </w:rPr>
        <w:t>.45-1</w:t>
      </w:r>
      <w:r>
        <w:rPr>
          <w:rFonts w:ascii="Calibri" w:hAnsi="Calibri" w:cs="Calibri"/>
          <w:lang w:val="pl-PL"/>
        </w:rPr>
        <w:t>1</w:t>
      </w:r>
      <w:r w:rsidR="000E120B" w:rsidRPr="00A26F6C">
        <w:rPr>
          <w:rFonts w:ascii="Calibri" w:hAnsi="Calibri" w:cs="Calibri"/>
          <w:lang w:val="pl-PL"/>
        </w:rPr>
        <w:t>.15 cz. merytoryczna</w:t>
      </w:r>
    </w:p>
    <w:p w14:paraId="19282088" w14:textId="52322B38" w:rsidR="000E120B" w:rsidRPr="00A26F6C" w:rsidRDefault="000E120B" w:rsidP="000E120B">
      <w:pPr>
        <w:spacing w:line="276" w:lineRule="auto"/>
        <w:rPr>
          <w:rFonts w:ascii="Calibri" w:hAnsi="Calibri" w:cs="Calibri"/>
          <w:lang w:val="pl-PL"/>
        </w:rPr>
      </w:pPr>
      <w:r w:rsidRPr="00A26F6C">
        <w:rPr>
          <w:rFonts w:ascii="Calibri" w:hAnsi="Calibri" w:cs="Calibri"/>
          <w:lang w:val="pl-PL"/>
        </w:rPr>
        <w:t>1</w:t>
      </w:r>
      <w:r w:rsidR="001A6ADF">
        <w:rPr>
          <w:rFonts w:ascii="Calibri" w:hAnsi="Calibri" w:cs="Calibri"/>
          <w:lang w:val="pl-PL"/>
        </w:rPr>
        <w:t>1</w:t>
      </w:r>
      <w:r w:rsidRPr="00A26F6C">
        <w:rPr>
          <w:rFonts w:ascii="Calibri" w:hAnsi="Calibri" w:cs="Calibri"/>
          <w:lang w:val="pl-PL"/>
        </w:rPr>
        <w:t>.15-1</w:t>
      </w:r>
      <w:r w:rsidR="001A6ADF">
        <w:rPr>
          <w:rFonts w:ascii="Calibri" w:hAnsi="Calibri" w:cs="Calibri"/>
          <w:lang w:val="pl-PL"/>
        </w:rPr>
        <w:t>1</w:t>
      </w:r>
      <w:r w:rsidRPr="00A26F6C">
        <w:rPr>
          <w:rFonts w:ascii="Calibri" w:hAnsi="Calibri" w:cs="Calibri"/>
          <w:lang w:val="pl-PL"/>
        </w:rPr>
        <w:t>.30 przerwa 15-minutowa</w:t>
      </w:r>
    </w:p>
    <w:p w14:paraId="3374CF08" w14:textId="38070F45" w:rsidR="000E120B" w:rsidRPr="00A26F6C" w:rsidRDefault="000E120B" w:rsidP="000E120B">
      <w:pPr>
        <w:spacing w:line="276" w:lineRule="auto"/>
        <w:rPr>
          <w:rFonts w:ascii="Calibri" w:hAnsi="Calibri" w:cs="Calibri"/>
          <w:lang w:val="pl-PL"/>
        </w:rPr>
      </w:pPr>
      <w:r w:rsidRPr="00A26F6C">
        <w:rPr>
          <w:rFonts w:ascii="Calibri" w:hAnsi="Calibri" w:cs="Calibri"/>
          <w:lang w:val="pl-PL"/>
        </w:rPr>
        <w:t>1</w:t>
      </w:r>
      <w:r w:rsidR="001A6ADF">
        <w:rPr>
          <w:rFonts w:ascii="Calibri" w:hAnsi="Calibri" w:cs="Calibri"/>
          <w:lang w:val="pl-PL"/>
        </w:rPr>
        <w:t>1</w:t>
      </w:r>
      <w:r w:rsidRPr="00A26F6C">
        <w:rPr>
          <w:rFonts w:ascii="Calibri" w:hAnsi="Calibri" w:cs="Calibri"/>
          <w:lang w:val="pl-PL"/>
        </w:rPr>
        <w:t>.30-1</w:t>
      </w:r>
      <w:r w:rsidR="001A6ADF">
        <w:rPr>
          <w:rFonts w:ascii="Calibri" w:hAnsi="Calibri" w:cs="Calibri"/>
          <w:lang w:val="pl-PL"/>
        </w:rPr>
        <w:t>3</w:t>
      </w:r>
      <w:r w:rsidRPr="00A26F6C">
        <w:rPr>
          <w:rFonts w:ascii="Calibri" w:hAnsi="Calibri" w:cs="Calibri"/>
          <w:lang w:val="pl-PL"/>
        </w:rPr>
        <w:t>.30 cz. merytoryczna</w:t>
      </w:r>
    </w:p>
    <w:p w14:paraId="233746A4" w14:textId="74FAB37F" w:rsidR="000E120B" w:rsidRPr="00A26F6C" w:rsidRDefault="000E120B" w:rsidP="000E120B">
      <w:pPr>
        <w:spacing w:line="276" w:lineRule="auto"/>
        <w:rPr>
          <w:rFonts w:ascii="Calibri" w:hAnsi="Calibri" w:cs="Calibri"/>
          <w:lang w:val="pl-PL"/>
        </w:rPr>
      </w:pPr>
      <w:r w:rsidRPr="00A26F6C">
        <w:rPr>
          <w:rFonts w:ascii="Calibri" w:hAnsi="Calibri" w:cs="Calibri"/>
          <w:lang w:val="pl-PL"/>
        </w:rPr>
        <w:t>1</w:t>
      </w:r>
      <w:r w:rsidR="001A6ADF">
        <w:rPr>
          <w:rFonts w:ascii="Calibri" w:hAnsi="Calibri" w:cs="Calibri"/>
          <w:lang w:val="pl-PL"/>
        </w:rPr>
        <w:t>3</w:t>
      </w:r>
      <w:r w:rsidRPr="00A26F6C">
        <w:rPr>
          <w:rFonts w:ascii="Calibri" w:hAnsi="Calibri" w:cs="Calibri"/>
          <w:lang w:val="pl-PL"/>
        </w:rPr>
        <w:t>.30-1</w:t>
      </w:r>
      <w:r w:rsidR="001A6ADF">
        <w:rPr>
          <w:rFonts w:ascii="Calibri" w:hAnsi="Calibri" w:cs="Calibri"/>
          <w:lang w:val="pl-PL"/>
        </w:rPr>
        <w:t>4</w:t>
      </w:r>
      <w:r w:rsidRPr="00A26F6C">
        <w:rPr>
          <w:rFonts w:ascii="Calibri" w:hAnsi="Calibri" w:cs="Calibri"/>
          <w:lang w:val="pl-PL"/>
        </w:rPr>
        <w:t>.00 ankieta ewaluacyjna, blok przeznaczony na indywidualne pytania uczestników</w:t>
      </w:r>
    </w:p>
    <w:p w14:paraId="1A9DC82A" w14:textId="77777777" w:rsidR="000E120B" w:rsidRPr="00AA6AB0" w:rsidRDefault="000E120B" w:rsidP="000E120B">
      <w:pPr>
        <w:spacing w:line="276" w:lineRule="auto"/>
        <w:rPr>
          <w:rFonts w:ascii="Calibri" w:hAnsi="Calibri" w:cs="Calibri"/>
          <w:sz w:val="6"/>
          <w:szCs w:val="6"/>
          <w:lang w:val="pl-PL"/>
        </w:rPr>
      </w:pPr>
    </w:p>
    <w:bookmarkEnd w:id="1"/>
    <w:p w14:paraId="7E77BD7B" w14:textId="23DB50EC" w:rsidR="00B307B8" w:rsidRDefault="00B307B8" w:rsidP="00A36758">
      <w:pPr>
        <w:spacing w:before="120" w:line="276" w:lineRule="auto"/>
        <w:ind w:right="-307"/>
        <w:rPr>
          <w:rFonts w:ascii="Calibri" w:hAnsi="Calibri" w:cs="Calibri"/>
          <w:b/>
          <w:bCs/>
          <w:sz w:val="22"/>
          <w:szCs w:val="22"/>
          <w:lang w:val="pl-PL"/>
        </w:rPr>
      </w:pPr>
    </w:p>
    <w:p w14:paraId="27A4C0F0" w14:textId="0F610F26" w:rsidR="00A36758" w:rsidRPr="00A36758" w:rsidRDefault="00A36758" w:rsidP="00A36758">
      <w:pPr>
        <w:spacing w:before="120" w:line="276" w:lineRule="auto"/>
        <w:ind w:right="-307"/>
        <w:rPr>
          <w:sz w:val="22"/>
          <w:szCs w:val="22"/>
          <w:lang w:val="pl-PL"/>
        </w:rPr>
      </w:pPr>
      <w:r w:rsidRPr="00A36758">
        <w:rPr>
          <w:sz w:val="22"/>
          <w:szCs w:val="22"/>
          <w:lang w:val="pl-PL"/>
        </w:rPr>
        <w:t>1.</w:t>
      </w:r>
      <w:r>
        <w:rPr>
          <w:sz w:val="22"/>
          <w:szCs w:val="22"/>
          <w:lang w:val="pl-PL"/>
        </w:rPr>
        <w:t xml:space="preserve"> </w:t>
      </w:r>
      <w:r w:rsidRPr="00A36758">
        <w:rPr>
          <w:sz w:val="22"/>
          <w:szCs w:val="22"/>
          <w:lang w:val="pl-PL"/>
        </w:rPr>
        <w:t>Pojęcie zasad horyzontalnych w kontekście polityki spójności i Funduszy Europejskich.</w:t>
      </w:r>
    </w:p>
    <w:p w14:paraId="398F11E2" w14:textId="1A341201" w:rsidR="00A36758" w:rsidRPr="00A36758" w:rsidRDefault="00A36758" w:rsidP="00A36758">
      <w:pPr>
        <w:spacing w:before="120" w:line="276" w:lineRule="auto"/>
        <w:ind w:right="-307"/>
        <w:rPr>
          <w:sz w:val="22"/>
          <w:szCs w:val="22"/>
          <w:lang w:val="pl-PL"/>
        </w:rPr>
      </w:pPr>
      <w:r w:rsidRPr="00A36758">
        <w:rPr>
          <w:sz w:val="22"/>
          <w:szCs w:val="22"/>
          <w:lang w:val="pl-PL"/>
        </w:rPr>
        <w:t>2.</w:t>
      </w:r>
      <w:r>
        <w:rPr>
          <w:sz w:val="22"/>
          <w:szCs w:val="22"/>
          <w:lang w:val="pl-PL"/>
        </w:rPr>
        <w:t xml:space="preserve"> </w:t>
      </w:r>
      <w:r w:rsidRPr="00A36758">
        <w:rPr>
          <w:sz w:val="22"/>
          <w:szCs w:val="22"/>
          <w:lang w:val="pl-PL"/>
        </w:rPr>
        <w:t>Regulacje prawne i dokumenty odniesienia (rozporządzenia UE, krajowe wytyczne).</w:t>
      </w:r>
    </w:p>
    <w:p w14:paraId="6AD5BBFA" w14:textId="49F4D85F" w:rsidR="00A36758" w:rsidRPr="00A36758" w:rsidRDefault="00A36758" w:rsidP="00A36758">
      <w:pPr>
        <w:spacing w:before="120" w:line="276" w:lineRule="auto"/>
        <w:ind w:right="-307"/>
        <w:rPr>
          <w:sz w:val="22"/>
          <w:szCs w:val="22"/>
          <w:lang w:val="pl-PL"/>
        </w:rPr>
      </w:pPr>
      <w:r w:rsidRPr="00A36758">
        <w:rPr>
          <w:sz w:val="22"/>
          <w:szCs w:val="22"/>
          <w:lang w:val="pl-PL"/>
        </w:rPr>
        <w:t>3.</w:t>
      </w:r>
      <w:r>
        <w:rPr>
          <w:sz w:val="22"/>
          <w:szCs w:val="22"/>
          <w:lang w:val="pl-PL"/>
        </w:rPr>
        <w:t xml:space="preserve"> </w:t>
      </w:r>
      <w:r w:rsidRPr="00A36758">
        <w:rPr>
          <w:sz w:val="22"/>
          <w:szCs w:val="22"/>
          <w:lang w:val="pl-PL"/>
        </w:rPr>
        <w:t>Omówienie zasad horyzontalnych w kontekście wdrażania projektów finansowanych z funduszy EU (wybrane zagadnienia):</w:t>
      </w:r>
    </w:p>
    <w:p w14:paraId="2BC387BD" w14:textId="75F383FA" w:rsidR="00A36758" w:rsidRPr="00A36758" w:rsidRDefault="00A36758" w:rsidP="00A36758">
      <w:pPr>
        <w:spacing w:before="120" w:line="276" w:lineRule="auto"/>
        <w:ind w:right="-307"/>
        <w:rPr>
          <w:sz w:val="22"/>
          <w:szCs w:val="22"/>
          <w:lang w:val="pl-PL"/>
        </w:rPr>
      </w:pPr>
      <w:r w:rsidRPr="00A36758">
        <w:rPr>
          <w:sz w:val="22"/>
          <w:szCs w:val="22"/>
          <w:lang w:val="pl-PL"/>
        </w:rPr>
        <w:t>a)</w:t>
      </w:r>
      <w:r>
        <w:rPr>
          <w:sz w:val="22"/>
          <w:szCs w:val="22"/>
          <w:lang w:val="pl-PL"/>
        </w:rPr>
        <w:t xml:space="preserve"> </w:t>
      </w:r>
      <w:r w:rsidRPr="00A36758">
        <w:rPr>
          <w:sz w:val="22"/>
          <w:szCs w:val="22"/>
          <w:lang w:val="pl-PL"/>
        </w:rPr>
        <w:t>Zasada równości kobiet i mężczyzn (rola uczestników procesu – komisja oceniająca projekty, instytucje pośredniczące, wniosek o dofinansowanie w kontekście równości kobiet i mężczyzn, cele, działania (w tym budżet), rezultaty i monitoring w kontekście równości kobiet i mężczyzn).</w:t>
      </w:r>
    </w:p>
    <w:p w14:paraId="03ECF0C6" w14:textId="190A43F8" w:rsidR="00A36758" w:rsidRPr="00A36758" w:rsidRDefault="00A36758" w:rsidP="00A36758">
      <w:pPr>
        <w:spacing w:before="120" w:line="276" w:lineRule="auto"/>
        <w:ind w:right="-307"/>
        <w:rPr>
          <w:sz w:val="22"/>
          <w:szCs w:val="22"/>
          <w:lang w:val="pl-PL"/>
        </w:rPr>
      </w:pPr>
      <w:r w:rsidRPr="00A36758">
        <w:rPr>
          <w:sz w:val="22"/>
          <w:szCs w:val="22"/>
          <w:lang w:val="pl-PL"/>
        </w:rPr>
        <w:t>b)</w:t>
      </w:r>
      <w:r>
        <w:rPr>
          <w:sz w:val="22"/>
          <w:szCs w:val="22"/>
          <w:lang w:val="pl-PL"/>
        </w:rPr>
        <w:t xml:space="preserve"> </w:t>
      </w:r>
      <w:r w:rsidRPr="00A36758">
        <w:rPr>
          <w:sz w:val="22"/>
          <w:szCs w:val="22"/>
          <w:lang w:val="pl-PL"/>
        </w:rPr>
        <w:t>Zasada równości szans i niedyskryminacji w tym dostępności dla osób z niepełnosprawnościami (zasada równości szans i niedyskryminacji – kontekst prawny, Karta Praw Podstawowych, Konwencja ONZ o prawach osób z niepełnosprawnościami, niepełnosprawność – rodzaje, modele, stereotypy na temat niepełnosprawności, funkcjonowanie osób z niepełnosprawnościami, bariery fizyczne, cyfrowe, organizacyjne i mentalne dostępności czyli dyskryminacja w praktyce, studium przypadku – projekty finansowane z UE w kontekście zasady równości szans i niedyskryminacji). Obowiązki beneficjenta, równość szans w rekrutacji, zarządzaniu zespołem i promocji projektu</w:t>
      </w:r>
    </w:p>
    <w:p w14:paraId="5568FF3D" w14:textId="1EA19F0C" w:rsidR="00A36758" w:rsidRPr="00A36758" w:rsidRDefault="00A36758" w:rsidP="00A36758">
      <w:pPr>
        <w:spacing w:before="120" w:line="276" w:lineRule="auto"/>
        <w:ind w:right="-307"/>
        <w:rPr>
          <w:sz w:val="22"/>
          <w:szCs w:val="22"/>
          <w:lang w:val="pl-PL"/>
        </w:rPr>
      </w:pPr>
      <w:r w:rsidRPr="00A36758">
        <w:rPr>
          <w:sz w:val="22"/>
          <w:szCs w:val="22"/>
          <w:lang w:val="pl-PL"/>
        </w:rPr>
        <w:t>c)</w:t>
      </w:r>
      <w:r>
        <w:rPr>
          <w:sz w:val="22"/>
          <w:szCs w:val="22"/>
          <w:lang w:val="pl-PL"/>
        </w:rPr>
        <w:t xml:space="preserve"> </w:t>
      </w:r>
      <w:r w:rsidRPr="00A36758">
        <w:rPr>
          <w:sz w:val="22"/>
          <w:szCs w:val="22"/>
          <w:lang w:val="pl-PL"/>
        </w:rPr>
        <w:t>Zasada zrównoważonego rozwoju.</w:t>
      </w:r>
    </w:p>
    <w:p w14:paraId="0A3AB122" w14:textId="1879A790" w:rsidR="00A36758" w:rsidRPr="00A36758" w:rsidRDefault="00A36758" w:rsidP="00A36758">
      <w:pPr>
        <w:spacing w:before="120" w:line="276" w:lineRule="auto"/>
        <w:ind w:right="-307"/>
        <w:rPr>
          <w:sz w:val="22"/>
          <w:szCs w:val="22"/>
          <w:lang w:val="pl-PL"/>
        </w:rPr>
      </w:pPr>
      <w:r w:rsidRPr="00A36758">
        <w:rPr>
          <w:sz w:val="22"/>
          <w:szCs w:val="22"/>
          <w:lang w:val="pl-PL"/>
        </w:rPr>
        <w:t>d)</w:t>
      </w:r>
      <w:r>
        <w:rPr>
          <w:sz w:val="22"/>
          <w:szCs w:val="22"/>
          <w:lang w:val="pl-PL"/>
        </w:rPr>
        <w:t xml:space="preserve"> </w:t>
      </w:r>
      <w:r w:rsidRPr="00A36758">
        <w:rPr>
          <w:sz w:val="22"/>
          <w:szCs w:val="22"/>
          <w:lang w:val="pl-PL"/>
        </w:rPr>
        <w:t>Zasada „Nie czyń poważnych szkód” (DNSH): czym jest, jak stosować zasadę, jak wykazać zgodność z zasadą.</w:t>
      </w:r>
    </w:p>
    <w:p w14:paraId="3253F35B" w14:textId="2D03AC0D" w:rsidR="00A36758" w:rsidRDefault="00A36758" w:rsidP="00A36758">
      <w:pPr>
        <w:spacing w:before="120" w:line="276" w:lineRule="auto"/>
        <w:ind w:right="-307"/>
        <w:rPr>
          <w:sz w:val="22"/>
          <w:szCs w:val="22"/>
          <w:lang w:val="pl-PL"/>
        </w:rPr>
      </w:pPr>
      <w:r w:rsidRPr="00A36758">
        <w:rPr>
          <w:sz w:val="22"/>
          <w:szCs w:val="22"/>
          <w:lang w:val="pl-PL"/>
        </w:rPr>
        <w:t>e)</w:t>
      </w:r>
      <w:r>
        <w:rPr>
          <w:sz w:val="22"/>
          <w:szCs w:val="22"/>
          <w:lang w:val="pl-PL"/>
        </w:rPr>
        <w:t xml:space="preserve"> </w:t>
      </w:r>
      <w:r w:rsidRPr="00A36758">
        <w:rPr>
          <w:sz w:val="22"/>
          <w:szCs w:val="22"/>
          <w:lang w:val="pl-PL"/>
        </w:rPr>
        <w:t>Zasada partnerstwa (czym jest, uwarunkowania prawne, realizacja zasady partnerstwa, angażowanie partnerów, ocena realizacji, przykłady partnerstwa).</w:t>
      </w:r>
    </w:p>
    <w:p w14:paraId="14757227" w14:textId="7E98284F" w:rsidR="00A36758" w:rsidRPr="00A36758" w:rsidRDefault="00A36758" w:rsidP="00A36758">
      <w:pPr>
        <w:spacing w:before="120" w:line="276" w:lineRule="auto"/>
        <w:ind w:right="-307"/>
        <w:rPr>
          <w:sz w:val="22"/>
          <w:szCs w:val="22"/>
          <w:lang w:val="pl-PL"/>
        </w:rPr>
      </w:pPr>
      <w:r w:rsidRPr="00A36758">
        <w:rPr>
          <w:sz w:val="22"/>
          <w:szCs w:val="22"/>
          <w:lang w:val="pl-PL"/>
        </w:rPr>
        <w:t>4.</w:t>
      </w:r>
      <w:r>
        <w:rPr>
          <w:sz w:val="22"/>
          <w:szCs w:val="22"/>
          <w:lang w:val="pl-PL"/>
        </w:rPr>
        <w:t xml:space="preserve"> </w:t>
      </w:r>
      <w:r w:rsidRPr="00A36758">
        <w:rPr>
          <w:sz w:val="22"/>
          <w:szCs w:val="22"/>
          <w:lang w:val="pl-PL"/>
        </w:rPr>
        <w:t>Kontrola projektów i przedsięwzięć pod kątem realizacji zasad horyzontalnych: weryfikacja wniosków o płatność, kontrola na miejscu.</w:t>
      </w:r>
    </w:p>
    <w:p w14:paraId="066B7B07" w14:textId="32B9E681" w:rsidR="00A36758" w:rsidRPr="00A36758" w:rsidRDefault="00A36758" w:rsidP="00A36758">
      <w:pPr>
        <w:spacing w:before="120" w:line="276" w:lineRule="auto"/>
        <w:ind w:right="-307"/>
        <w:rPr>
          <w:sz w:val="22"/>
          <w:szCs w:val="22"/>
          <w:lang w:val="pl-PL"/>
        </w:rPr>
      </w:pPr>
      <w:r w:rsidRPr="00A36758">
        <w:rPr>
          <w:sz w:val="22"/>
          <w:szCs w:val="22"/>
          <w:lang w:val="pl-PL"/>
        </w:rPr>
        <w:lastRenderedPageBreak/>
        <w:t>5.</w:t>
      </w:r>
      <w:r>
        <w:rPr>
          <w:sz w:val="22"/>
          <w:szCs w:val="22"/>
          <w:lang w:val="pl-PL"/>
        </w:rPr>
        <w:t xml:space="preserve"> </w:t>
      </w:r>
      <w:r w:rsidRPr="00A36758">
        <w:rPr>
          <w:sz w:val="22"/>
          <w:szCs w:val="22"/>
          <w:lang w:val="pl-PL"/>
        </w:rPr>
        <w:t>Naruszenia polityk horyzontalnych.</w:t>
      </w:r>
    </w:p>
    <w:p w14:paraId="24F24B24" w14:textId="6978B6AC" w:rsidR="00A36758" w:rsidRPr="00A36758" w:rsidRDefault="00A36758" w:rsidP="00A36758">
      <w:pPr>
        <w:spacing w:before="120" w:line="276" w:lineRule="auto"/>
        <w:ind w:right="-307"/>
        <w:rPr>
          <w:sz w:val="22"/>
          <w:szCs w:val="22"/>
          <w:lang w:val="pl-PL"/>
        </w:rPr>
      </w:pPr>
      <w:r w:rsidRPr="00A36758">
        <w:rPr>
          <w:sz w:val="22"/>
          <w:szCs w:val="22"/>
          <w:lang w:val="pl-PL"/>
        </w:rPr>
        <w:t>6.</w:t>
      </w:r>
      <w:r>
        <w:rPr>
          <w:sz w:val="22"/>
          <w:szCs w:val="22"/>
          <w:lang w:val="pl-PL"/>
        </w:rPr>
        <w:t xml:space="preserve"> </w:t>
      </w:r>
      <w:r w:rsidRPr="00A36758">
        <w:rPr>
          <w:sz w:val="22"/>
          <w:szCs w:val="22"/>
          <w:lang w:val="pl-PL"/>
        </w:rPr>
        <w:t>Omówienie KPP i KPON w kontekście projektów finansowanych z funduszy EU, w tym:</w:t>
      </w:r>
    </w:p>
    <w:p w14:paraId="7E397B5E" w14:textId="77777777" w:rsidR="00A36758" w:rsidRPr="00A36758" w:rsidRDefault="00A36758" w:rsidP="00A36758">
      <w:pPr>
        <w:spacing w:before="120" w:line="276" w:lineRule="auto"/>
        <w:ind w:right="-307"/>
        <w:rPr>
          <w:sz w:val="22"/>
          <w:szCs w:val="22"/>
          <w:lang w:val="pl-PL"/>
        </w:rPr>
      </w:pPr>
      <w:r w:rsidRPr="00A36758">
        <w:rPr>
          <w:sz w:val="22"/>
          <w:szCs w:val="22"/>
          <w:lang w:val="pl-PL"/>
        </w:rPr>
        <w:t>- ocena zgodności projektu z zapisami KPP i KPON na etapie oceny, wdrażania i kontroli.</w:t>
      </w:r>
    </w:p>
    <w:p w14:paraId="7E3EB670" w14:textId="77777777" w:rsidR="00A36758" w:rsidRPr="00A36758" w:rsidRDefault="00A36758" w:rsidP="00A36758">
      <w:pPr>
        <w:spacing w:before="120" w:line="276" w:lineRule="auto"/>
        <w:ind w:right="-307"/>
        <w:rPr>
          <w:sz w:val="22"/>
          <w:szCs w:val="22"/>
          <w:lang w:val="pl-PL"/>
        </w:rPr>
      </w:pPr>
      <w:r w:rsidRPr="00A36758">
        <w:rPr>
          <w:sz w:val="22"/>
          <w:szCs w:val="22"/>
          <w:lang w:val="pl-PL"/>
        </w:rPr>
        <w:t>- przykłady naruszeń zapisów KPP i KPON w procesie wdrażania funduszy unijnych.</w:t>
      </w:r>
    </w:p>
    <w:p w14:paraId="46E9D91A" w14:textId="77777777" w:rsidR="00A36758" w:rsidRPr="00A36758" w:rsidRDefault="00A36758" w:rsidP="00A36758">
      <w:pPr>
        <w:spacing w:before="120" w:line="276" w:lineRule="auto"/>
        <w:ind w:right="-307"/>
        <w:rPr>
          <w:sz w:val="22"/>
          <w:szCs w:val="22"/>
          <w:lang w:val="pl-PL"/>
        </w:rPr>
      </w:pPr>
      <w:r w:rsidRPr="00A36758">
        <w:rPr>
          <w:sz w:val="22"/>
          <w:szCs w:val="22"/>
          <w:lang w:val="pl-PL"/>
        </w:rPr>
        <w:t>- dobre praktyki wdrażania funduszy unijnych z uwzględnieniem zapisów KPP i KPON</w:t>
      </w:r>
    </w:p>
    <w:p w14:paraId="7D1A0AC8" w14:textId="6FDA7BB9" w:rsidR="00A36758" w:rsidRPr="004E26BE" w:rsidRDefault="00A36758" w:rsidP="00A36758">
      <w:pPr>
        <w:spacing w:before="120" w:line="276" w:lineRule="auto"/>
        <w:ind w:right="-307"/>
        <w:rPr>
          <w:sz w:val="22"/>
          <w:szCs w:val="22"/>
          <w:lang w:val="pl-PL"/>
        </w:rPr>
      </w:pPr>
      <w:r w:rsidRPr="00A36758">
        <w:rPr>
          <w:sz w:val="22"/>
          <w:szCs w:val="22"/>
          <w:lang w:val="pl-PL"/>
        </w:rPr>
        <w:t>7.</w:t>
      </w:r>
      <w:r>
        <w:rPr>
          <w:sz w:val="22"/>
          <w:szCs w:val="22"/>
          <w:lang w:val="pl-PL"/>
        </w:rPr>
        <w:t xml:space="preserve"> </w:t>
      </w:r>
      <w:r w:rsidRPr="00A36758">
        <w:rPr>
          <w:sz w:val="22"/>
          <w:szCs w:val="22"/>
          <w:lang w:val="pl-PL"/>
        </w:rPr>
        <w:t>Omówienie Przewodnika Stosowania Karty Praw Podstawowych w toku wdrażania projektów finansowanych z funduszy UE opracowany przez RPO: jak stosowana jest KPP przy weryfikacji projektu pod katem spełnienia jej zapisów.</w:t>
      </w:r>
    </w:p>
    <w:sectPr w:rsidR="00A36758" w:rsidRPr="004E26BE" w:rsidSect="001631DF">
      <w:headerReference w:type="default" r:id="rId8"/>
      <w:footerReference w:type="default" r:id="rId9"/>
      <w:pgSz w:w="11906" w:h="16838"/>
      <w:pgMar w:top="-172" w:right="720" w:bottom="720" w:left="720" w:header="14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29980" w14:textId="77777777" w:rsidR="00135C6D" w:rsidRDefault="00135C6D" w:rsidP="001631DF">
      <w:r>
        <w:separator/>
      </w:r>
    </w:p>
  </w:endnote>
  <w:endnote w:type="continuationSeparator" w:id="0">
    <w:p w14:paraId="750B5758" w14:textId="77777777" w:rsidR="00135C6D" w:rsidRDefault="00135C6D" w:rsidP="0016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Times New Roman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DBCB4" w14:textId="26F61B2E" w:rsidR="001631DF" w:rsidRDefault="001631DF">
    <w:pPr>
      <w:pStyle w:val="Stopk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FE829" wp14:editId="4275507E">
          <wp:simplePos x="0" y="0"/>
          <wp:positionH relativeFrom="page">
            <wp:align>left</wp:align>
          </wp:positionH>
          <wp:positionV relativeFrom="page">
            <wp:posOffset>9612991</wp:posOffset>
          </wp:positionV>
          <wp:extent cx="7552706" cy="1076460"/>
          <wp:effectExtent l="0" t="0" r="0" b="9525"/>
          <wp:wrapSquare wrapText="bothSides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706" cy="107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FE464" w14:textId="77777777" w:rsidR="00135C6D" w:rsidRDefault="00135C6D" w:rsidP="001631DF">
      <w:r>
        <w:separator/>
      </w:r>
    </w:p>
  </w:footnote>
  <w:footnote w:type="continuationSeparator" w:id="0">
    <w:p w14:paraId="7443E200" w14:textId="77777777" w:rsidR="00135C6D" w:rsidRDefault="00135C6D" w:rsidP="0016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BF056" w14:textId="6ED634DD" w:rsidR="001631DF" w:rsidRDefault="001631DF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AEC6CA" wp14:editId="115EEF0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2142" cy="991590"/>
          <wp:effectExtent l="0" t="0" r="0" b="0"/>
          <wp:wrapSquare wrapText="bothSides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468" cy="10161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64C4E"/>
    <w:multiLevelType w:val="hybridMultilevel"/>
    <w:tmpl w:val="A89CF43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D930E88"/>
    <w:multiLevelType w:val="hybridMultilevel"/>
    <w:tmpl w:val="F37698DA"/>
    <w:lvl w:ilvl="0" w:tplc="5D480D4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D20C0D"/>
    <w:multiLevelType w:val="hybridMultilevel"/>
    <w:tmpl w:val="156085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31866">
    <w:abstractNumId w:val="0"/>
  </w:num>
  <w:num w:numId="2" w16cid:durableId="276259255">
    <w:abstractNumId w:val="2"/>
  </w:num>
  <w:num w:numId="3" w16cid:durableId="1761369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1DF"/>
    <w:rsid w:val="0009588B"/>
    <w:rsid w:val="000E120B"/>
    <w:rsid w:val="00102C2B"/>
    <w:rsid w:val="00135C6D"/>
    <w:rsid w:val="001631DF"/>
    <w:rsid w:val="001A6ADF"/>
    <w:rsid w:val="00201743"/>
    <w:rsid w:val="00300C04"/>
    <w:rsid w:val="003E2662"/>
    <w:rsid w:val="0048233B"/>
    <w:rsid w:val="004B53D6"/>
    <w:rsid w:val="004E26BE"/>
    <w:rsid w:val="004E6796"/>
    <w:rsid w:val="00557577"/>
    <w:rsid w:val="00597E50"/>
    <w:rsid w:val="00662535"/>
    <w:rsid w:val="00735710"/>
    <w:rsid w:val="00763BE9"/>
    <w:rsid w:val="007B2066"/>
    <w:rsid w:val="007F01F4"/>
    <w:rsid w:val="0084482F"/>
    <w:rsid w:val="008667B9"/>
    <w:rsid w:val="00895605"/>
    <w:rsid w:val="008E3861"/>
    <w:rsid w:val="009B33DD"/>
    <w:rsid w:val="00A25461"/>
    <w:rsid w:val="00A26F6C"/>
    <w:rsid w:val="00A36758"/>
    <w:rsid w:val="00A72F39"/>
    <w:rsid w:val="00AA6AB0"/>
    <w:rsid w:val="00AC37E2"/>
    <w:rsid w:val="00B307B8"/>
    <w:rsid w:val="00B54E0D"/>
    <w:rsid w:val="00BF05F1"/>
    <w:rsid w:val="00C23D16"/>
    <w:rsid w:val="00C62AFD"/>
    <w:rsid w:val="00D36DCE"/>
    <w:rsid w:val="00D502A3"/>
    <w:rsid w:val="00DF3A58"/>
    <w:rsid w:val="00E11B5F"/>
    <w:rsid w:val="00F513D6"/>
    <w:rsid w:val="00F6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9D105F"/>
  <w15:chartTrackingRefBased/>
  <w15:docId w15:val="{AD1BEF5A-93B7-4BE3-9CEC-37F1E8D04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E50"/>
    <w:pPr>
      <w:spacing w:after="0" w:line="240" w:lineRule="auto"/>
    </w:pPr>
    <w:rPr>
      <w:rFonts w:eastAsiaTheme="minorEastAsia"/>
      <w:sz w:val="24"/>
      <w:szCs w:val="24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31DF"/>
    <w:pPr>
      <w:tabs>
        <w:tab w:val="center" w:pos="4536"/>
        <w:tab w:val="right" w:pos="9072"/>
      </w:tabs>
    </w:pPr>
    <w:rPr>
      <w:rFonts w:eastAsiaTheme="minorHAnsi"/>
      <w:sz w:val="22"/>
      <w:szCs w:val="22"/>
      <w:lang w:val="pl-PL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631DF"/>
  </w:style>
  <w:style w:type="paragraph" w:styleId="Stopka">
    <w:name w:val="footer"/>
    <w:basedOn w:val="Normalny"/>
    <w:link w:val="StopkaZnak"/>
    <w:uiPriority w:val="99"/>
    <w:unhideWhenUsed/>
    <w:rsid w:val="001631DF"/>
    <w:pPr>
      <w:tabs>
        <w:tab w:val="center" w:pos="4536"/>
        <w:tab w:val="right" w:pos="9072"/>
      </w:tabs>
    </w:pPr>
    <w:rPr>
      <w:rFonts w:eastAsiaTheme="minorHAnsi"/>
      <w:sz w:val="22"/>
      <w:szCs w:val="22"/>
      <w:lang w:val="pl-PL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631DF"/>
  </w:style>
  <w:style w:type="paragraph" w:customStyle="1" w:styleId="TEKSTGIEDA">
    <w:name w:val="TEKST_GIEŁDA"/>
    <w:basedOn w:val="Normalny"/>
    <w:qFormat/>
    <w:rsid w:val="00597E50"/>
    <w:pPr>
      <w:ind w:left="170" w:right="170"/>
    </w:pPr>
    <w:rPr>
      <w:rFonts w:ascii="Open Sans" w:hAnsi="Open Sans"/>
      <w:color w:val="192041"/>
      <w:lang w:val="pl-PL"/>
    </w:rPr>
  </w:style>
  <w:style w:type="table" w:styleId="Tabela-Siatka">
    <w:name w:val="Table Grid"/>
    <w:basedOn w:val="Standardowy"/>
    <w:uiPriority w:val="59"/>
    <w:rsid w:val="00597E50"/>
    <w:pPr>
      <w:spacing w:after="0" w:line="240" w:lineRule="auto"/>
    </w:pPr>
    <w:rPr>
      <w:rFonts w:eastAsiaTheme="minorEastAsia"/>
      <w:sz w:val="24"/>
      <w:szCs w:val="24"/>
      <w:lang w:val="en-US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maz_wyliczenie,opis dzialania,K-P_odwolanie,A_wyliczenie,Akapit z listą 1,Table of contents numbered,Akapit z listą5,L1,Numerowanie,List Paragraph,BulletC,Wyliczanie,Obiekt,normalny tekst,Akapit z listą31,Bullets,List Paragraph1"/>
    <w:basedOn w:val="Normalny"/>
    <w:link w:val="AkapitzlistZnak"/>
    <w:uiPriority w:val="34"/>
    <w:qFormat/>
    <w:rsid w:val="00B307B8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pl-PL" w:eastAsia="en-US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L1 Znak,Numerowanie Znak,List Paragraph Znak,BulletC Znak,Wyliczanie Znak"/>
    <w:link w:val="Akapitzlist"/>
    <w:uiPriority w:val="34"/>
    <w:qFormat/>
    <w:rsid w:val="00B307B8"/>
  </w:style>
  <w:style w:type="character" w:styleId="Odwoaniedokomentarza">
    <w:name w:val="annotation reference"/>
    <w:basedOn w:val="Domylnaczcionkaakapitu"/>
    <w:uiPriority w:val="99"/>
    <w:semiHidden/>
    <w:unhideWhenUsed/>
    <w:rsid w:val="00AA6A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6A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6AB0"/>
    <w:rPr>
      <w:rFonts w:eastAsiaTheme="minorEastAsia"/>
      <w:sz w:val="20"/>
      <w:szCs w:val="20"/>
      <w:lang w:val="en-US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6A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6AB0"/>
    <w:rPr>
      <w:rFonts w:eastAsiaTheme="minorEastAsia"/>
      <w:b/>
      <w:bCs/>
      <w:sz w:val="20"/>
      <w:szCs w:val="20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Ciołek</dc:creator>
  <cp:keywords/>
  <dc:description/>
  <cp:lastModifiedBy>Czerżyńska Aneta</cp:lastModifiedBy>
  <cp:revision>2</cp:revision>
  <dcterms:created xsi:type="dcterms:W3CDTF">2026-08-04T10:01:00Z</dcterms:created>
  <dcterms:modified xsi:type="dcterms:W3CDTF">2026-08-04T10:01:00Z</dcterms:modified>
</cp:coreProperties>
</file>