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38CB" w14:textId="77777777" w:rsidR="002D7E22" w:rsidRDefault="002D7E22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2964A116" w14:textId="77777777" w:rsidR="00C55745" w:rsidRPr="00D26B8F" w:rsidRDefault="00C55745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595F1695" w14:textId="77777777" w:rsidR="002D7E22" w:rsidRPr="00D26B8F" w:rsidRDefault="002D7E22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D26B8F" w:rsidRDefault="00577E4C" w:rsidP="00736F05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48469F4A" w:rsidR="00577E4C" w:rsidRPr="00D26B8F" w:rsidRDefault="00204732" w:rsidP="00736F05">
      <w:pPr>
        <w:pStyle w:val="Default"/>
        <w:spacing w:beforeLines="60" w:before="144" w:afterLines="60" w:after="144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WZÓR</w:t>
      </w:r>
      <w:r w:rsidR="002D7E22" w:rsidRPr="00D26B8F">
        <w:rPr>
          <w:rFonts w:ascii="Arial" w:hAnsi="Arial" w:cs="Arial"/>
          <w:b/>
          <w:bCs/>
          <w:color w:val="auto"/>
          <w:sz w:val="24"/>
        </w:rPr>
        <w:t xml:space="preserve"> STUDIUM WYKONALNOŚCI</w:t>
      </w:r>
    </w:p>
    <w:p w14:paraId="14C1806A" w14:textId="77777777" w:rsidR="002D7E22" w:rsidRPr="00D26B8F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D26B8F" w:rsidRDefault="0088288A" w:rsidP="00736F05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88288A" w:rsidRPr="00D26B8F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36456E" w:rsidRDefault="0088288A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bookmarkStart w:id="0" w:name="_Hlk179290189"/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36456E" w:rsidRDefault="0088288A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Cs/>
                <w:color w:val="auto"/>
                <w:sz w:val="24"/>
              </w:rPr>
              <w:t>Fundusze Europejskie dla Podlaskiego 2021-2027</w:t>
            </w:r>
          </w:p>
        </w:tc>
      </w:tr>
      <w:tr w:rsidR="00F108BC" w:rsidRPr="00D26B8F" w14:paraId="61DE722A" w14:textId="77777777" w:rsidTr="0036456E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CCE" w14:textId="2C408B4A" w:rsidR="00F108BC" w:rsidRPr="0036456E" w:rsidRDefault="00F41FA0" w:rsidP="0036456E">
            <w:pPr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Priorytet VI: Zrównoważona mobilność miejska</w:t>
            </w:r>
          </w:p>
        </w:tc>
      </w:tr>
      <w:tr w:rsidR="00F108BC" w:rsidRPr="00D26B8F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C331" w14:textId="55435E92" w:rsidR="00F41FA0" w:rsidRPr="0036456E" w:rsidRDefault="00F41FA0" w:rsidP="0036456E">
            <w:pPr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Działanie 06.0</w:t>
            </w:r>
            <w:r w:rsidR="006A1319">
              <w:rPr>
                <w:rFonts w:ascii="Arial" w:hAnsi="Arial" w:cs="Arial"/>
                <w:sz w:val="24"/>
                <w:szCs w:val="24"/>
              </w:rPr>
              <w:t>2</w:t>
            </w:r>
            <w:r w:rsidRPr="003645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319">
              <w:rPr>
                <w:rFonts w:ascii="Arial" w:hAnsi="Arial" w:cs="Arial"/>
                <w:sz w:val="24"/>
                <w:szCs w:val="24"/>
              </w:rPr>
              <w:t>Zintegrowana terytorialnie m</w:t>
            </w:r>
            <w:r w:rsidRPr="0036456E">
              <w:rPr>
                <w:rFonts w:ascii="Arial" w:hAnsi="Arial" w:cs="Arial"/>
                <w:sz w:val="24"/>
                <w:szCs w:val="24"/>
              </w:rPr>
              <w:t>obilność miejska</w:t>
            </w:r>
            <w:r w:rsidRPr="0036456E" w:rsidDel="009619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6D50A1" w14:textId="4D2F6AF8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</w:p>
        </w:tc>
      </w:tr>
      <w:tr w:rsidR="00F108BC" w:rsidRPr="00D26B8F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7D8C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bookmarkStart w:id="1" w:name="_Hlk160626298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Zakup, modernizacja niskoemisyjnego i </w:t>
            </w:r>
            <w:proofErr w:type="spellStart"/>
            <w:r w:rsidRPr="0036456E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 taboru na potrzeby transportu publicznego. </w:t>
            </w:r>
          </w:p>
          <w:p w14:paraId="2E5C2CEA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Budowa instalacji do dystrybucji nośników energii dla </w:t>
            </w:r>
            <w:proofErr w:type="spellStart"/>
            <w:r w:rsidRPr="0036456E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 transportu.</w:t>
            </w:r>
          </w:p>
          <w:p w14:paraId="2133EAAC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Wyposażenie dróg/ulic w infrastrukturę służącą obsłudze transportu publicznego oraz pasażerów.</w:t>
            </w:r>
          </w:p>
          <w:p w14:paraId="5FBE7DE8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Budowa, przebudowa, rozbudowa liniowej i punktowej infrastruktury transportu publicznego i niezmotoryzowanego.</w:t>
            </w:r>
          </w:p>
          <w:p w14:paraId="29F11AAE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Inteligentne Systemy Transportowe.</w:t>
            </w:r>
          </w:p>
          <w:bookmarkEnd w:id="1"/>
          <w:p w14:paraId="12106A7A" w14:textId="5A992EF3" w:rsidR="00F108BC" w:rsidRPr="0036456E" w:rsidRDefault="00F108BC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8BC" w:rsidRPr="00D26B8F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720F3D03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Cs/>
                <w:color w:val="auto"/>
                <w:sz w:val="24"/>
              </w:rPr>
              <w:t>FEPD.0</w:t>
            </w:r>
            <w:r w:rsidR="00F41FA0" w:rsidRPr="0036456E">
              <w:rPr>
                <w:rFonts w:ascii="Arial" w:hAnsi="Arial" w:cs="Arial"/>
                <w:bCs/>
                <w:color w:val="auto"/>
                <w:sz w:val="24"/>
              </w:rPr>
              <w:t>6</w:t>
            </w:r>
            <w:r w:rsidRPr="0036456E">
              <w:rPr>
                <w:rFonts w:ascii="Arial" w:hAnsi="Arial" w:cs="Arial"/>
                <w:bCs/>
                <w:color w:val="auto"/>
                <w:sz w:val="24"/>
              </w:rPr>
              <w:t>.</w:t>
            </w:r>
            <w:r w:rsidR="00FF6415" w:rsidRPr="0036456E">
              <w:rPr>
                <w:rFonts w:ascii="Arial" w:hAnsi="Arial" w:cs="Arial"/>
                <w:bCs/>
                <w:color w:val="auto"/>
                <w:sz w:val="24"/>
              </w:rPr>
              <w:t>0</w:t>
            </w:r>
            <w:r w:rsidR="006A1319">
              <w:rPr>
                <w:rFonts w:ascii="Arial" w:hAnsi="Arial" w:cs="Arial"/>
                <w:bCs/>
                <w:color w:val="auto"/>
                <w:sz w:val="24"/>
              </w:rPr>
              <w:t>2</w:t>
            </w:r>
            <w:r w:rsidRPr="0036456E">
              <w:rPr>
                <w:rFonts w:ascii="Arial" w:hAnsi="Arial" w:cs="Arial"/>
                <w:bCs/>
                <w:color w:val="auto"/>
                <w:sz w:val="24"/>
              </w:rPr>
              <w:t>-IZ.00-</w:t>
            </w:r>
            <w:r w:rsidR="003D0513" w:rsidRPr="0036456E">
              <w:rPr>
                <w:rFonts w:ascii="Arial" w:hAnsi="Arial" w:cs="Arial"/>
                <w:bCs/>
                <w:color w:val="auto"/>
                <w:sz w:val="24"/>
              </w:rPr>
              <w:t>001/2</w:t>
            </w:r>
            <w:r w:rsidR="009C2B63">
              <w:rPr>
                <w:rFonts w:ascii="Arial" w:hAnsi="Arial" w:cs="Arial"/>
                <w:bCs/>
                <w:color w:val="auto"/>
                <w:sz w:val="24"/>
              </w:rPr>
              <w:t>6</w:t>
            </w:r>
          </w:p>
        </w:tc>
      </w:tr>
      <w:bookmarkEnd w:id="0"/>
    </w:tbl>
    <w:p w14:paraId="724F0430" w14:textId="77777777" w:rsidR="0088288A" w:rsidRPr="00D26B8F" w:rsidRDefault="0088288A" w:rsidP="00736F05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D26B8F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D26B8F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D26B8F" w:rsidRDefault="007E68F6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D26B8F" w:rsidRDefault="007E68F6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Default="00433320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Default="00D26B8F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0DFC2C77" w14:textId="77777777" w:rsidR="007A20B8" w:rsidRDefault="007A20B8" w:rsidP="0036456E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6CFC72B" w14:textId="17D24172" w:rsidR="0016324B" w:rsidRPr="00D46CB2" w:rsidRDefault="00647088" w:rsidP="007A20B8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 w:val="24"/>
        </w:rPr>
      </w:pPr>
      <w:r w:rsidRPr="00D46CB2">
        <w:rPr>
          <w:rFonts w:ascii="Arial" w:hAnsi="Arial" w:cs="Arial"/>
          <w:i/>
          <w:iCs/>
          <w:color w:val="auto"/>
          <w:sz w:val="24"/>
        </w:rPr>
        <w:t>Białystok,</w:t>
      </w:r>
      <w:r w:rsidR="00AA6D65" w:rsidRPr="00D46CB2">
        <w:rPr>
          <w:rFonts w:ascii="Arial" w:hAnsi="Arial" w:cs="Arial"/>
          <w:i/>
          <w:iCs/>
          <w:color w:val="auto"/>
          <w:sz w:val="24"/>
        </w:rPr>
        <w:t xml:space="preserve"> </w:t>
      </w:r>
      <w:r w:rsidR="000D2698">
        <w:rPr>
          <w:rFonts w:ascii="Arial" w:hAnsi="Arial" w:cs="Arial"/>
          <w:i/>
          <w:iCs/>
          <w:color w:val="auto"/>
          <w:sz w:val="24"/>
        </w:rPr>
        <w:t>marzec</w:t>
      </w:r>
      <w:r w:rsidR="006A1319">
        <w:rPr>
          <w:rFonts w:ascii="Arial" w:hAnsi="Arial" w:cs="Arial"/>
          <w:i/>
          <w:iCs/>
          <w:color w:val="auto"/>
          <w:sz w:val="24"/>
        </w:rPr>
        <w:t xml:space="preserve"> </w:t>
      </w:r>
      <w:r w:rsidRPr="00D46CB2">
        <w:rPr>
          <w:rFonts w:ascii="Arial" w:hAnsi="Arial" w:cs="Arial"/>
          <w:i/>
          <w:iCs/>
          <w:color w:val="auto"/>
          <w:sz w:val="24"/>
        </w:rPr>
        <w:t>202</w:t>
      </w:r>
      <w:r w:rsidR="000D2698">
        <w:rPr>
          <w:rFonts w:ascii="Arial" w:hAnsi="Arial" w:cs="Arial"/>
          <w:i/>
          <w:iCs/>
          <w:color w:val="auto"/>
          <w:sz w:val="24"/>
        </w:rPr>
        <w:t>6</w:t>
      </w:r>
      <w:r w:rsidR="00F108BC" w:rsidRPr="00D46CB2">
        <w:rPr>
          <w:rFonts w:ascii="Arial" w:hAnsi="Arial" w:cs="Arial"/>
          <w:i/>
          <w:iCs/>
          <w:color w:val="auto"/>
          <w:sz w:val="24"/>
        </w:rPr>
        <w:t xml:space="preserve"> </w:t>
      </w:r>
      <w:r w:rsidRPr="00D46CB2">
        <w:rPr>
          <w:rFonts w:ascii="Arial" w:hAnsi="Arial" w:cs="Arial"/>
          <w:i/>
          <w:iCs/>
          <w:color w:val="auto"/>
          <w:sz w:val="24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356D9ECB" w14:textId="332B9A24" w:rsidR="00D26B8F" w:rsidRDefault="00D26B8F" w:rsidP="00736F05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28439181" w14:textId="77777777" w:rsidR="002D7E22" w:rsidRPr="00D26B8F" w:rsidRDefault="002D7E22" w:rsidP="00736F05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6796B98" w14:textId="73E0399E" w:rsidR="002D7E22" w:rsidRPr="00D46CB2" w:rsidRDefault="00D26B8F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D</w:t>
      </w:r>
      <w:r w:rsidR="001D1CFE"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okument </w:t>
      </w:r>
      <w:r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Należy przedłożyć </w:t>
      </w:r>
      <w:r w:rsidR="001D1CFE"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w wersji elektronicznej w formacie PDF aktywnym (wydruk do pdf).</w:t>
      </w:r>
    </w:p>
    <w:p w14:paraId="223A778C" w14:textId="77777777" w:rsidR="00D26B8F" w:rsidRPr="00D46CB2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z</w:t>
      </w: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ostałych załącznik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ów</w:t>
      </w: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do Wniosku o dofinansowanie.</w:t>
      </w:r>
    </w:p>
    <w:p w14:paraId="37748D21" w14:textId="77777777" w:rsidR="00987A5F" w:rsidRPr="00D46CB2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Np.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:</w:t>
      </w:r>
    </w:p>
    <w:p w14:paraId="6206CB19" w14:textId="6BB9EE5E" w:rsidR="00987A5F" w:rsidRPr="00F96176" w:rsidRDefault="00987A5F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-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bookmarkStart w:id="7" w:name="_Hlk180491477"/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Kryterium Kwalifikowalność wydatków projektu ocenian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e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będzie na podstawie informacji zawartych we Wniosku o dofinansowanie</w:t>
      </w:r>
      <w:r w:rsidR="00BB6735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załącznikach do Wniosku: dokumentacja techniczna, kosztorys, oferty 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oraz zapisów w pkt. </w:t>
      </w:r>
      <w:r w:rsidR="00FE629B" w:rsidRPr="00E20209">
        <w:rPr>
          <w:rFonts w:ascii="Arial" w:eastAsia="Calibri" w:hAnsi="Arial" w:cs="Arial"/>
          <w:i/>
          <w:iCs/>
          <w:sz w:val="24"/>
          <w:szCs w:val="24"/>
          <w:lang w:eastAsia="en-US"/>
        </w:rPr>
        <w:t>Sposób szacowania wydatków kwalifikowalnych projektu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;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</w:p>
    <w:p w14:paraId="2BBE2CE9" w14:textId="2687E297" w:rsidR="00BB6735" w:rsidRPr="00F96176" w:rsidRDefault="00987A5F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-</w:t>
      </w:r>
      <w:r w:rsidR="00F02378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k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ryterium Wykonalność techniczna projektu ocenian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e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będzie na podstawie informacji zawartych </w:t>
      </w:r>
      <w:r w:rsidR="001A6239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we wniosku o dofinansowanie 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w sekcji H1 </w:t>
      </w:r>
      <w:r w:rsidR="001A6239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Potencjał do realizacji projektu</w:t>
      </w:r>
      <w:r w:rsidR="000A0ACD">
        <w:rPr>
          <w:rFonts w:ascii="Arial" w:eastAsia="Calibri" w:hAnsi="Arial" w:cs="Arial"/>
          <w:i/>
          <w:iCs/>
          <w:sz w:val="24"/>
          <w:szCs w:val="24"/>
          <w:lang w:eastAsia="en-US"/>
        </w:rPr>
        <w:t>,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zapisów w pkt. </w:t>
      </w:r>
      <w:r w:rsidR="00FE629B" w:rsidRPr="00E20209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Wykonalność techniczna </w:t>
      </w:r>
      <w:r w:rsidR="00FE629B" w:rsidRPr="000A0ACD">
        <w:rPr>
          <w:rFonts w:ascii="Arial" w:eastAsia="Calibri" w:hAnsi="Arial" w:cs="Arial"/>
          <w:i/>
          <w:iCs/>
          <w:sz w:val="24"/>
          <w:szCs w:val="24"/>
          <w:lang w:eastAsia="en-US"/>
        </w:rPr>
        <w:t>projektu</w:t>
      </w:r>
      <w:bookmarkEnd w:id="7"/>
      <w:r w:rsidR="00614D44" w:rsidRPr="000A0ACD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oraz dokumentacji technicznej i przedłożonych zezwoleń.</w:t>
      </w:r>
    </w:p>
    <w:p w14:paraId="44BDD30E" w14:textId="1DF2DA53" w:rsidR="00BB6735" w:rsidRPr="00F96176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Należy zwrócić szczególną uwagę, aby informacje zawarte w dokumencie były spójne z zapisami zawartymi we wniosku o dofinansowanie oraz w pozostałych załącznikach. Dokumentacja jako całość, powinna umożliwić dokonanie oceny w ramach obowiązujących kryteriów. </w:t>
      </w:r>
      <w:r w:rsidR="008053DD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Wnioskodawc</w:t>
      </w: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a ponosi pełną odpowiedzialność za informacje zawarte w składanych dokumentach.</w:t>
      </w:r>
    </w:p>
    <w:p w14:paraId="05D6E44C" w14:textId="0CEEEB19" w:rsidR="0016324B" w:rsidRPr="00F96176" w:rsidRDefault="00BB6735" w:rsidP="00736F0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x-none"/>
        </w:rPr>
        <w:t>Należy unikać nadmiernego rozbudowywania opisów i podawania informacji zbędnych dla oceny wykonalności projektu.</w:t>
      </w:r>
    </w:p>
    <w:p w14:paraId="1E86031D" w14:textId="77777777" w:rsidR="001D1CFE" w:rsidRPr="00F96176" w:rsidRDefault="001D1CFE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C6485CF" w14:textId="33ADA24E" w:rsidR="009F6BA1" w:rsidRPr="00F96176" w:rsidRDefault="009F6BA1" w:rsidP="00736F05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 xml:space="preserve">Ogólna charakterystyka </w:t>
      </w:r>
      <w:r w:rsidR="008053DD"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>Wnioskodawc</w:t>
      </w:r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>y</w:t>
      </w:r>
      <w:bookmarkEnd w:id="3"/>
      <w:bookmarkEnd w:id="4"/>
    </w:p>
    <w:p w14:paraId="717066D8" w14:textId="38179327" w:rsidR="008B6531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x-none"/>
        </w:rPr>
        <w:t>Nazwa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  <w:r w:rsidR="008053DD" w:rsidRPr="00F96176">
        <w:rPr>
          <w:rFonts w:ascii="Arial" w:eastAsia="Calibri" w:hAnsi="Arial" w:cs="Arial"/>
          <w:sz w:val="24"/>
          <w:szCs w:val="24"/>
          <w:lang w:eastAsia="x-none"/>
        </w:rPr>
        <w:t>Wnioskodawc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y</w:t>
      </w:r>
      <w:r w:rsidRPr="00F96176">
        <w:rPr>
          <w:rFonts w:ascii="Arial" w:eastAsia="Calibri" w:hAnsi="Arial" w:cs="Arial"/>
          <w:sz w:val="24"/>
          <w:szCs w:val="24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D26B8F" w14:paraId="0137DD5D" w14:textId="77777777" w:rsidTr="008526C7">
        <w:tc>
          <w:tcPr>
            <w:tcW w:w="9973" w:type="dxa"/>
          </w:tcPr>
          <w:p w14:paraId="2EAC79AE" w14:textId="77777777" w:rsidR="008B6531" w:rsidRPr="008A0143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9C4E2A7" w14:textId="77777777" w:rsidR="008B6531" w:rsidRPr="00D26B8F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F96176" w:rsidRDefault="001A6239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x-none"/>
        </w:rPr>
        <w:t xml:space="preserve">Forma 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organizacyjno-prawn</w:t>
      </w:r>
      <w:r w:rsidR="002055B8" w:rsidRPr="00F96176">
        <w:rPr>
          <w:rFonts w:ascii="Arial" w:eastAsia="Calibri" w:hAnsi="Arial" w:cs="Arial"/>
          <w:sz w:val="24"/>
          <w:szCs w:val="24"/>
          <w:lang w:eastAsia="x-none"/>
        </w:rPr>
        <w:t>a: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4588FADF" w14:textId="77777777" w:rsidTr="008526C7">
        <w:tc>
          <w:tcPr>
            <w:tcW w:w="9973" w:type="dxa"/>
          </w:tcPr>
          <w:p w14:paraId="31788A76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86493DA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C6C10" w14:textId="21227282" w:rsidR="009D687F" w:rsidRPr="00F96176" w:rsidRDefault="008B6531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en-US"/>
        </w:rPr>
        <w:t>O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pis działalności</w:t>
      </w:r>
      <w:r w:rsidR="002055B8" w:rsidRPr="00F96176">
        <w:rPr>
          <w:rFonts w:ascii="Arial" w:eastAsia="Calibri" w:hAnsi="Arial" w:cs="Arial"/>
          <w:sz w:val="24"/>
          <w:szCs w:val="24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79420E77" w14:textId="77777777" w:rsidTr="008526C7">
        <w:tc>
          <w:tcPr>
            <w:tcW w:w="9973" w:type="dxa"/>
          </w:tcPr>
          <w:p w14:paraId="6D9C897C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0" w:name="_Hlk180492473"/>
          </w:p>
          <w:p w14:paraId="29533C6E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0"/>
    <w:p w14:paraId="6DF995DE" w14:textId="0415A5DC" w:rsidR="009F6BA1" w:rsidRPr="00F96176" w:rsidRDefault="009F6BA1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Identyfikacja projektu</w:t>
      </w:r>
      <w:bookmarkEnd w:id="8"/>
      <w:bookmarkEnd w:id="9"/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 xml:space="preserve"> </w:t>
      </w:r>
    </w:p>
    <w:p w14:paraId="568E8CEE" w14:textId="454F119A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10189ABB" w14:textId="77777777" w:rsidTr="008526C7">
        <w:tc>
          <w:tcPr>
            <w:tcW w:w="9973" w:type="dxa"/>
          </w:tcPr>
          <w:p w14:paraId="729322EA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11AF6093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99AFD" w14:textId="0FA16AAD" w:rsidR="00305682" w:rsidRPr="000A0ACD" w:rsidRDefault="00305682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A0ACD">
        <w:rPr>
          <w:rFonts w:ascii="Arial" w:eastAsia="Calibri" w:hAnsi="Arial" w:cs="Arial"/>
          <w:color w:val="000000"/>
          <w:sz w:val="24"/>
          <w:szCs w:val="24"/>
          <w:lang w:eastAsia="en-US"/>
        </w:rPr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D7E22" w:rsidRPr="0036456E" w14:paraId="606BB3D8" w14:textId="77777777" w:rsidTr="008526C7">
        <w:tc>
          <w:tcPr>
            <w:tcW w:w="9973" w:type="dxa"/>
          </w:tcPr>
          <w:p w14:paraId="72E0C072" w14:textId="77777777" w:rsidR="00F41FA0" w:rsidRPr="000A0ACD" w:rsidRDefault="002D7E2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iCs/>
                <w:sz w:val="24"/>
                <w:szCs w:val="24"/>
              </w:rPr>
            </w:pPr>
            <w:bookmarkStart w:id="11" w:name="_Hlk180412632"/>
            <w:r w:rsidRPr="000A0A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bookmarkEnd w:id="11"/>
            <w:r w:rsidRPr="000A0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1FA0" w:rsidRPr="000A0ACD">
              <w:rPr>
                <w:rFonts w:ascii="Arial" w:hAnsi="Arial" w:cs="Arial"/>
                <w:sz w:val="24"/>
                <w:szCs w:val="24"/>
              </w:rPr>
              <w:t xml:space="preserve">Zakup, </w:t>
            </w:r>
            <w:r w:rsidR="00F41FA0" w:rsidRPr="000A0ACD">
              <w:rPr>
                <w:rFonts w:ascii="Arial" w:hAnsi="Arial" w:cs="Arial"/>
                <w:iCs/>
                <w:sz w:val="24"/>
                <w:szCs w:val="24"/>
              </w:rPr>
              <w:t xml:space="preserve">modernizacja niskoemisyjnego i </w:t>
            </w:r>
            <w:proofErr w:type="spellStart"/>
            <w:r w:rsidR="00F41FA0" w:rsidRPr="000A0ACD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="00F41FA0" w:rsidRPr="000A0ACD">
              <w:rPr>
                <w:rFonts w:ascii="Arial" w:hAnsi="Arial" w:cs="Arial"/>
                <w:iCs/>
                <w:sz w:val="24"/>
                <w:szCs w:val="24"/>
              </w:rPr>
              <w:t xml:space="preserve"> taboru na potrzeby transportu publicznego.</w:t>
            </w:r>
          </w:p>
          <w:p w14:paraId="27040253" w14:textId="77777777" w:rsidR="00F41FA0" w:rsidRPr="000A0ACD" w:rsidRDefault="00F41FA0" w:rsidP="00F41F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0A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A0ACD">
              <w:rPr>
                <w:rFonts w:ascii="Arial" w:hAnsi="Arial" w:cs="Arial"/>
                <w:sz w:val="24"/>
                <w:szCs w:val="24"/>
              </w:rPr>
              <w:t xml:space="preserve"> Budowa </w:t>
            </w:r>
            <w:r w:rsidRPr="000A0ACD">
              <w:rPr>
                <w:rFonts w:ascii="Arial" w:hAnsi="Arial" w:cs="Arial"/>
                <w:iCs/>
                <w:sz w:val="24"/>
                <w:szCs w:val="24"/>
              </w:rPr>
              <w:t xml:space="preserve">instalacji do dystrybucji nośników energii dla </w:t>
            </w:r>
            <w:proofErr w:type="spellStart"/>
            <w:r w:rsidRPr="000A0ACD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0A0ACD">
              <w:rPr>
                <w:rFonts w:ascii="Arial" w:hAnsi="Arial" w:cs="Arial"/>
                <w:iCs/>
                <w:sz w:val="24"/>
                <w:szCs w:val="24"/>
              </w:rPr>
              <w:t xml:space="preserve"> transportu</w:t>
            </w:r>
            <w:r w:rsidRPr="000A0AC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  <w:p w14:paraId="3F1ABDA1" w14:textId="77777777" w:rsidR="003D0FC5" w:rsidRPr="000A0ACD" w:rsidRDefault="003D0FC5" w:rsidP="00F41F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1B8C9B8D" w14:textId="5C1AB852" w:rsidR="003D0FC5" w:rsidRPr="000A0ACD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A0A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A0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ACD">
              <w:rPr>
                <w:rFonts w:ascii="Arial" w:hAnsi="Arial" w:cs="Arial"/>
                <w:iCs/>
                <w:sz w:val="24"/>
                <w:szCs w:val="24"/>
              </w:rPr>
              <w:t>Wyposażenie dróg/ulic w infrastrukturę służącą obsłudze transportu publicznego oraz pasażerów.</w:t>
            </w:r>
          </w:p>
          <w:p w14:paraId="5530E6D6" w14:textId="77777777" w:rsidR="003D0FC5" w:rsidRPr="000A0ACD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369887" w14:textId="03542CBB" w:rsidR="003D0FC5" w:rsidRPr="000A0ACD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A0AC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0A0ACD">
              <w:rPr>
                <w:rFonts w:ascii="Arial" w:hAnsi="Arial" w:cs="Arial"/>
                <w:iCs/>
                <w:sz w:val="24"/>
                <w:szCs w:val="24"/>
              </w:rPr>
              <w:t>Budowa, przebudowa, rozbudowa liniowej i punktowej infrastruktury transportu publicznego i niezmotoryzowanego.</w:t>
            </w:r>
          </w:p>
          <w:p w14:paraId="52C60879" w14:textId="77777777" w:rsidR="003D0FC5" w:rsidRPr="000A0ACD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FD400D" w14:textId="4F44BBDA" w:rsidR="003D0FC5" w:rsidRPr="00F96176" w:rsidRDefault="003D0FC5" w:rsidP="00F9617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A0ACD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0A0ACD">
              <w:rPr>
                <w:rFonts w:ascii="Arial" w:hAnsi="Arial" w:cs="Arial"/>
                <w:iCs/>
                <w:sz w:val="24"/>
                <w:szCs w:val="24"/>
              </w:rPr>
              <w:t>Inteligentne Systemy Transportowe.</w:t>
            </w:r>
          </w:p>
          <w:p w14:paraId="064A0342" w14:textId="20DF3863" w:rsidR="002D7E22" w:rsidRPr="00F96176" w:rsidRDefault="002D7E2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3354E5" w14:textId="370D5D30" w:rsidR="00305682" w:rsidRPr="00F96176" w:rsidRDefault="00305682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60A1E683" w14:textId="77777777" w:rsidTr="008526C7">
        <w:tc>
          <w:tcPr>
            <w:tcW w:w="9973" w:type="dxa"/>
          </w:tcPr>
          <w:p w14:paraId="66A22B75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66A21DC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F7594" w14:textId="396B14F3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Całkowity koszt projektu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723C885C" w14:textId="5C0F8438" w:rsidR="009F5AB7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Całkowity koszt kwalifikowalny projektu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6FE5A5A5" w14:textId="5A503F4B" w:rsidR="002055B8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Wnioskowana kwota dofinansowania: </w:t>
      </w:r>
    </w:p>
    <w:p w14:paraId="4D24D553" w14:textId="674EAB24" w:rsidR="002055B8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Wnioskowany poziom dofinansowania:</w:t>
      </w:r>
    </w:p>
    <w:p w14:paraId="0640379E" w14:textId="2D64673D" w:rsidR="00077803" w:rsidRPr="00F96176" w:rsidRDefault="00077803" w:rsidP="00077803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Termin i okres realizacji</w:t>
      </w:r>
      <w:r w:rsidR="00283A5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projektu</w:t>
      </w: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5D8B114C" w14:textId="77777777" w:rsidR="00FE629B" w:rsidRPr="00F96176" w:rsidRDefault="00FE629B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5366704F" w14:textId="32E0B4C4" w:rsidR="002055B8" w:rsidRPr="000A0ACD" w:rsidRDefault="008B6531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O</w:t>
      </w:r>
      <w:r w:rsidR="00926034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pis </w:t>
      </w:r>
      <w:r w:rsidR="00BB6735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przedmiotu i </w:t>
      </w:r>
      <w:r w:rsidR="002055B8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zakres</w:t>
      </w:r>
      <w:r w:rsidR="0080095D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u</w:t>
      </w:r>
      <w:r w:rsidR="002055B8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rzeczow</w:t>
      </w:r>
      <w:r w:rsidR="0080095D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ego</w:t>
      </w:r>
      <w:r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projektu.</w:t>
      </w:r>
      <w:r w:rsidR="00BB6735" w:rsidRPr="000A0ACD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14:paraId="2EE72B91" w14:textId="515A7B6B" w:rsidR="00C717DE" w:rsidRPr="00F96176" w:rsidRDefault="00C717DE" w:rsidP="00F96176">
      <w:pPr>
        <w:pStyle w:val="cel1"/>
        <w:tabs>
          <w:tab w:val="clear" w:pos="1134"/>
        </w:tabs>
        <w:ind w:left="9" w:hanging="9"/>
        <w:jc w:val="left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055B8" w:rsidRPr="0036456E" w14:paraId="6D0B0439" w14:textId="77777777" w:rsidTr="00FF64E1">
        <w:tc>
          <w:tcPr>
            <w:tcW w:w="9973" w:type="dxa"/>
          </w:tcPr>
          <w:p w14:paraId="092B380E" w14:textId="7D185D08" w:rsidR="006A12B4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2" w:name="_Hlk156974412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C7DB164" w14:textId="77777777" w:rsidR="00204732" w:rsidRPr="00F96176" w:rsidRDefault="0020473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2"/>
    </w:tbl>
    <w:p w14:paraId="7898ABBB" w14:textId="7C005013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9E5BBB4" w14:textId="29ACFE68" w:rsidR="00747E21" w:rsidRPr="00F96176" w:rsidRDefault="00747E21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projektu z dokumentami z zakresu planowania mobilności miejskiej</w:t>
      </w:r>
    </w:p>
    <w:p w14:paraId="309ACCC2" w14:textId="1D6915B1" w:rsidR="00747E21" w:rsidRPr="00F96176" w:rsidRDefault="00747E21" w:rsidP="00F96176">
      <w:pPr>
        <w:keepNext/>
        <w:tabs>
          <w:tab w:val="num" w:pos="0"/>
        </w:tabs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eastAsiaTheme="majorEastAsia" w:hAnsi="Arial" w:cs="Arial"/>
          <w:sz w:val="24"/>
          <w:szCs w:val="24"/>
        </w:rPr>
        <w:t xml:space="preserve">Należy </w:t>
      </w:r>
      <w:proofErr w:type="gramStart"/>
      <w:r w:rsidRPr="00F96176">
        <w:rPr>
          <w:rFonts w:ascii="Arial" w:eastAsiaTheme="majorEastAsia" w:hAnsi="Arial" w:cs="Arial"/>
          <w:sz w:val="24"/>
          <w:szCs w:val="24"/>
        </w:rPr>
        <w:t>opisać</w:t>
      </w:r>
      <w:proofErr w:type="gramEnd"/>
      <w:r w:rsidRPr="00F96176">
        <w:rPr>
          <w:rFonts w:ascii="Arial" w:eastAsiaTheme="majorEastAsia" w:hAnsi="Arial" w:cs="Arial"/>
          <w:sz w:val="24"/>
          <w:szCs w:val="24"/>
        </w:rPr>
        <w:t xml:space="preserve"> </w:t>
      </w:r>
      <w:r w:rsidRPr="00F96176">
        <w:rPr>
          <w:rFonts w:ascii="Arial" w:hAnsi="Arial" w:cs="Arial"/>
          <w:sz w:val="24"/>
          <w:szCs w:val="24"/>
        </w:rPr>
        <w:t>czy projekt jest zgodny z wymaganymi dokumentami z zakresu planowania mobilności miejskiej, określonymi w Umowie Partnerstwa, tj.:</w:t>
      </w:r>
      <w:r w:rsidR="006A1319">
        <w:rPr>
          <w:rFonts w:ascii="Arial" w:hAnsi="Arial" w:cs="Arial"/>
          <w:bCs/>
          <w:sz w:val="24"/>
          <w:szCs w:val="24"/>
        </w:rPr>
        <w:t xml:space="preserve"> </w:t>
      </w:r>
      <w:r w:rsidRPr="00F96176">
        <w:rPr>
          <w:rFonts w:ascii="Arial" w:hAnsi="Arial" w:cs="Arial"/>
          <w:bCs/>
          <w:sz w:val="24"/>
          <w:szCs w:val="24"/>
        </w:rPr>
        <w:t xml:space="preserve">w miastach wojewódzkich oraz w gminach położonych w ich miejskich obszarach funkcjonalnych </w:t>
      </w:r>
      <w:r w:rsidRPr="00F96176">
        <w:rPr>
          <w:rFonts w:ascii="Arial" w:hAnsi="Arial" w:cs="Arial"/>
          <w:bCs/>
          <w:sz w:val="24"/>
          <w:szCs w:val="24"/>
        </w:rPr>
        <w:lastRenderedPageBreak/>
        <w:t>– zgodność z Planem Zrównoważonej Mobilności Miejskiej (z ang. SUMP) przyjętym uchwałą właściwego organu,</w:t>
      </w:r>
    </w:p>
    <w:p w14:paraId="133D41AE" w14:textId="173FCE74" w:rsidR="008639B1" w:rsidRDefault="008639B1">
      <w:pPr>
        <w:keepNext/>
        <w:suppressAutoHyphens/>
        <w:spacing w:before="240" w:after="0" w:line="240" w:lineRule="auto"/>
        <w:ind w:left="178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Należy wskazać link do odpowiedniego dokumentu planowania mobilności oraz wskaz</w:t>
      </w:r>
      <w:r w:rsidR="000919CA">
        <w:rPr>
          <w:rFonts w:ascii="Arial" w:hAnsi="Arial" w:cs="Arial"/>
          <w:bCs/>
          <w:sz w:val="24"/>
          <w:szCs w:val="24"/>
        </w:rPr>
        <w:t>ać miejsce</w:t>
      </w:r>
      <w:r w:rsidRPr="00F96176">
        <w:rPr>
          <w:rFonts w:ascii="Arial" w:hAnsi="Arial" w:cs="Arial"/>
          <w:bCs/>
          <w:sz w:val="24"/>
          <w:szCs w:val="24"/>
        </w:rPr>
        <w:t xml:space="preserve"> ujęcia w nim projektu oraz wykaza</w:t>
      </w:r>
      <w:r w:rsidR="000919CA">
        <w:rPr>
          <w:rFonts w:ascii="Arial" w:hAnsi="Arial" w:cs="Arial"/>
          <w:bCs/>
          <w:sz w:val="24"/>
          <w:szCs w:val="24"/>
        </w:rPr>
        <w:t>ć</w:t>
      </w:r>
      <w:r w:rsidRPr="00F96176">
        <w:rPr>
          <w:rFonts w:ascii="Arial" w:hAnsi="Arial" w:cs="Arial"/>
          <w:bCs/>
          <w:sz w:val="24"/>
          <w:szCs w:val="24"/>
        </w:rPr>
        <w:t xml:space="preserve"> spójnoś</w:t>
      </w:r>
      <w:r w:rsidR="000919CA">
        <w:rPr>
          <w:rFonts w:ascii="Arial" w:hAnsi="Arial" w:cs="Arial"/>
          <w:bCs/>
          <w:sz w:val="24"/>
          <w:szCs w:val="24"/>
        </w:rPr>
        <w:t>ć</w:t>
      </w:r>
      <w:r w:rsidRPr="00F96176">
        <w:rPr>
          <w:rFonts w:ascii="Arial" w:hAnsi="Arial" w:cs="Arial"/>
          <w:bCs/>
          <w:sz w:val="24"/>
          <w:szCs w:val="24"/>
        </w:rPr>
        <w:t xml:space="preserve"> planowanej inwestycji z zapisami tegoż dokumentu.</w:t>
      </w:r>
    </w:p>
    <w:p w14:paraId="7E95DAD6" w14:textId="77777777" w:rsidR="00157C75" w:rsidRPr="00F96176" w:rsidRDefault="00157C75" w:rsidP="00F96176">
      <w:pPr>
        <w:keepNext/>
        <w:suppressAutoHyphens/>
        <w:spacing w:before="240" w:after="0" w:line="240" w:lineRule="auto"/>
        <w:ind w:left="178"/>
        <w:outlineLvl w:val="3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157C75" w:rsidRPr="0036456E" w14:paraId="6DD0BDF7" w14:textId="77777777" w:rsidTr="000E794F">
        <w:tc>
          <w:tcPr>
            <w:tcW w:w="9973" w:type="dxa"/>
          </w:tcPr>
          <w:p w14:paraId="481DD99D" w14:textId="77777777" w:rsidR="00157C75" w:rsidRPr="000E794F" w:rsidRDefault="00157C75" w:rsidP="000E794F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0E794F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3C323965" w14:textId="77777777" w:rsidR="00157C75" w:rsidRPr="000E794F" w:rsidRDefault="00157C75" w:rsidP="000E794F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60433" w14:textId="0EF3AAEC" w:rsidR="00747E21" w:rsidRPr="00F96176" w:rsidRDefault="00747E21" w:rsidP="00F96176">
      <w:pPr>
        <w:pStyle w:val="Akapitzlist"/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71EEF1B8" w14:textId="3D10360B" w:rsidR="00C87802" w:rsidRPr="00F96176" w:rsidRDefault="00C87802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sz w:val="24"/>
          <w:szCs w:val="24"/>
        </w:rPr>
        <w:t>Ocena Planu Zrównoważonej Mobilności Miejskiej (z ang. SUMP) (jeśli dotyczy)</w:t>
      </w:r>
    </w:p>
    <w:p w14:paraId="04EE8A33" w14:textId="05E00758" w:rsidR="00C87802" w:rsidRDefault="00C87802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 xml:space="preserve">Należy opisać, czy Plan Zrównoważonej Mobilności Miejskiej (z ang. SUMP) uzyskał, w wyniku sprawdzania przez Centrum Unijnych Projektów Transportowych, ocenę „pozytywną” lub </w:t>
      </w:r>
      <w:bookmarkStart w:id="13" w:name="_Hlk199421668"/>
      <w:r w:rsidRPr="00F96176">
        <w:rPr>
          <w:rFonts w:ascii="Arial" w:hAnsi="Arial" w:cs="Arial"/>
          <w:bCs/>
          <w:sz w:val="24"/>
          <w:szCs w:val="24"/>
        </w:rPr>
        <w:t xml:space="preserve">ocenę „pozytywną z rekomendacjami” </w:t>
      </w:r>
      <w:bookmarkEnd w:id="13"/>
      <w:r w:rsidRPr="00F96176">
        <w:rPr>
          <w:rFonts w:ascii="Arial" w:hAnsi="Arial" w:cs="Arial"/>
          <w:bCs/>
          <w:sz w:val="24"/>
          <w:szCs w:val="24"/>
        </w:rPr>
        <w:t xml:space="preserve">w zakresie zgodności z 8 zasadami ujętymi w Komunikacie Komisji Europejskiej do Parlamentu Europejskiego, Rady Europejskiego Komitetu Ekonomiczno-Społecznego i Komitetu Regionów z 17.12.2013 r. „Wspólne dążenie do osiągnięcia konkurencyjnej i </w:t>
      </w:r>
      <w:proofErr w:type="spellStart"/>
      <w:r w:rsidRPr="00F96176">
        <w:rPr>
          <w:rFonts w:ascii="Arial" w:hAnsi="Arial" w:cs="Arial"/>
          <w:bCs/>
          <w:sz w:val="24"/>
          <w:szCs w:val="24"/>
        </w:rPr>
        <w:t>zasobooszczędnej</w:t>
      </w:r>
      <w:proofErr w:type="spellEnd"/>
      <w:r w:rsidRPr="00F96176">
        <w:rPr>
          <w:rFonts w:ascii="Arial" w:hAnsi="Arial" w:cs="Arial"/>
          <w:bCs/>
          <w:sz w:val="24"/>
          <w:szCs w:val="24"/>
        </w:rPr>
        <w:t xml:space="preserve"> mobilności” COM (2013) 913 Załącznik 1 – Koncepcja dotycząca planów mobilności w miastach zgodnej z zasadami zrównoważonego rozwoju.</w:t>
      </w:r>
    </w:p>
    <w:p w14:paraId="0E2E8766" w14:textId="7FB28815" w:rsidR="00157C75" w:rsidRPr="00F96176" w:rsidRDefault="00157C75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Jeśli SUM</w:t>
      </w:r>
      <w:r w:rsidR="00D46CB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 otrzymał </w:t>
      </w:r>
      <w:r w:rsidRPr="000E794F">
        <w:rPr>
          <w:rFonts w:ascii="Arial" w:hAnsi="Arial" w:cs="Arial"/>
          <w:bCs/>
          <w:sz w:val="24"/>
          <w:szCs w:val="24"/>
        </w:rPr>
        <w:t>ocenę „pozytywną z rekomendacjami”</w:t>
      </w:r>
      <w:r>
        <w:rPr>
          <w:rFonts w:ascii="Arial" w:hAnsi="Arial" w:cs="Arial"/>
          <w:bCs/>
          <w:sz w:val="24"/>
          <w:szCs w:val="24"/>
        </w:rPr>
        <w:t xml:space="preserve"> należy przedstawić rekomendacje.</w:t>
      </w:r>
    </w:p>
    <w:p w14:paraId="7414AA4C" w14:textId="536678E1" w:rsidR="0080095D" w:rsidRPr="00F96176" w:rsidRDefault="0080095D" w:rsidP="007A20B8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D687F" w:rsidRPr="0036456E" w14:paraId="16401235" w14:textId="77777777" w:rsidTr="00FF64E1">
        <w:tc>
          <w:tcPr>
            <w:tcW w:w="9973" w:type="dxa"/>
          </w:tcPr>
          <w:p w14:paraId="749F3157" w14:textId="0D1B99F4" w:rsidR="009D687F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A34CA86" w14:textId="77777777" w:rsidR="009D687F" w:rsidRPr="00F96176" w:rsidRDefault="009D687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64A2A27" w14:textId="77777777" w:rsidR="009D687F" w:rsidRPr="00F96176" w:rsidRDefault="009D687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F4559" w14:textId="77777777" w:rsidR="0035090C" w:rsidRPr="00F96176" w:rsidRDefault="0035090C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D3C060B" w14:textId="26C86CCA" w:rsidR="00C87802" w:rsidRPr="00F96176" w:rsidRDefault="00C87802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Uchwalenie SUMP przez rady gmin zaangażowane w proces (jeśli dotyczy)</w:t>
      </w:r>
    </w:p>
    <w:p w14:paraId="3F9DC0A3" w14:textId="6D892036" w:rsidR="00C87802" w:rsidRPr="00F96176" w:rsidRDefault="00C87802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Należy opisać</w:t>
      </w:r>
      <w:r w:rsidR="008C7EAC" w:rsidRPr="00F96176">
        <w:rPr>
          <w:rFonts w:ascii="Arial" w:hAnsi="Arial" w:cs="Arial"/>
          <w:bCs/>
          <w:sz w:val="24"/>
          <w:szCs w:val="24"/>
        </w:rPr>
        <w:t>,</w:t>
      </w:r>
      <w:r w:rsidRPr="00F96176">
        <w:rPr>
          <w:rFonts w:ascii="Arial" w:hAnsi="Arial" w:cs="Arial"/>
          <w:bCs/>
          <w:sz w:val="24"/>
          <w:szCs w:val="24"/>
        </w:rPr>
        <w:t xml:space="preserve"> </w:t>
      </w:r>
      <w:r w:rsidR="00A32C21" w:rsidRPr="00F96176">
        <w:rPr>
          <w:rFonts w:ascii="Arial" w:hAnsi="Arial" w:cs="Arial"/>
          <w:bCs/>
          <w:sz w:val="24"/>
          <w:szCs w:val="24"/>
        </w:rPr>
        <w:t xml:space="preserve">czy </w:t>
      </w:r>
      <w:r w:rsidR="00FE1529" w:rsidRPr="00F96176">
        <w:rPr>
          <w:rFonts w:ascii="Arial" w:hAnsi="Arial" w:cs="Arial"/>
          <w:bCs/>
          <w:sz w:val="24"/>
          <w:szCs w:val="24"/>
        </w:rPr>
        <w:t>SUMP został uchwalony przez wszystkie właściwe gminy przed złożeniem wniosku o dofinansowanie</w:t>
      </w:r>
      <w:r w:rsidR="00A32C21" w:rsidRPr="00F96176">
        <w:rPr>
          <w:rFonts w:ascii="Arial" w:hAnsi="Arial" w:cs="Arial"/>
          <w:bCs/>
          <w:sz w:val="24"/>
          <w:szCs w:val="24"/>
        </w:rPr>
        <w:t xml:space="preserve"> lub udokumentowane oświadczeniem założenie przyjęcia SUMP przez gminy zaangażowane w proces odpowiednimi uchwałami ich rad, przed podpisaniem umowy o dofinansowanie projektu.</w:t>
      </w:r>
    </w:p>
    <w:p w14:paraId="75EBECB9" w14:textId="37BFFBA1" w:rsidR="00A32C21" w:rsidRPr="00F96176" w:rsidRDefault="00A32C21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 xml:space="preserve">Należy </w:t>
      </w:r>
      <w:proofErr w:type="gramStart"/>
      <w:r w:rsidRPr="00F96176">
        <w:rPr>
          <w:rFonts w:ascii="Arial" w:hAnsi="Arial" w:cs="Arial"/>
          <w:bCs/>
          <w:sz w:val="24"/>
          <w:szCs w:val="24"/>
        </w:rPr>
        <w:t>przedstawić  deklarację</w:t>
      </w:r>
      <w:proofErr w:type="gramEnd"/>
      <w:r w:rsidRPr="00F96176">
        <w:rPr>
          <w:rFonts w:ascii="Arial" w:hAnsi="Arial" w:cs="Arial"/>
          <w:bCs/>
          <w:sz w:val="24"/>
          <w:szCs w:val="24"/>
        </w:rPr>
        <w:t>/oświadczenie każdej z gmin lub odpowiednich zapisów w przyjętych dokumentach regulujących zasady współpracy i podział obowiązków pomiędzy podmiotami zaangażowanymi w opracowanie SUMP.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68C7" w:rsidRPr="0036456E" w14:paraId="5895C2AE" w14:textId="77777777" w:rsidTr="00FF64E1">
        <w:tc>
          <w:tcPr>
            <w:tcW w:w="9973" w:type="dxa"/>
          </w:tcPr>
          <w:p w14:paraId="3B8CD45A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581865F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50CD6B6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05F4A" w14:textId="77777777" w:rsidR="005F68C7" w:rsidRPr="00F96176" w:rsidRDefault="005F68C7" w:rsidP="00736F05">
      <w:pPr>
        <w:pStyle w:val="Default"/>
        <w:spacing w:beforeLines="60" w:before="144" w:afterLines="60" w:after="144"/>
        <w:ind w:left="324" w:hanging="142"/>
        <w:rPr>
          <w:rFonts w:ascii="Arial" w:hAnsi="Arial" w:cs="Arial"/>
          <w:sz w:val="24"/>
        </w:rPr>
      </w:pPr>
    </w:p>
    <w:p w14:paraId="3844BC82" w14:textId="7288C857" w:rsidR="00B27640" w:rsidRPr="00FE629B" w:rsidRDefault="00B27640" w:rsidP="00FE629B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Zgodność z wymogami „ekologicznie czystych pojazdów” w rozumieniu Dyrektywy </w:t>
      </w:r>
      <w:r w:rsidR="00FE629B">
        <w:rPr>
          <w:rFonts w:ascii="Arial" w:eastAsiaTheme="majorEastAsia" w:hAnsi="Arial" w:cs="Arial"/>
          <w:b/>
          <w:bCs/>
          <w:sz w:val="24"/>
          <w:szCs w:val="24"/>
        </w:rPr>
        <w:t>(UE) 2019/1161 (</w:t>
      </w:r>
      <w:r w:rsidRPr="00FE629B">
        <w:rPr>
          <w:rFonts w:ascii="Arial" w:eastAsiaTheme="majorEastAsia" w:hAnsi="Arial" w:cs="Arial"/>
          <w:b/>
          <w:bCs/>
          <w:sz w:val="24"/>
          <w:szCs w:val="24"/>
        </w:rPr>
        <w:t>jeśli d</w:t>
      </w:r>
      <w:r w:rsidR="00FE629B">
        <w:rPr>
          <w:rFonts w:ascii="Arial" w:eastAsiaTheme="majorEastAsia" w:hAnsi="Arial" w:cs="Arial"/>
          <w:b/>
          <w:bCs/>
          <w:sz w:val="24"/>
          <w:szCs w:val="24"/>
        </w:rPr>
        <w:t>o</w:t>
      </w:r>
      <w:r w:rsidRPr="00FE629B">
        <w:rPr>
          <w:rFonts w:ascii="Arial" w:eastAsiaTheme="majorEastAsia" w:hAnsi="Arial" w:cs="Arial"/>
          <w:b/>
          <w:bCs/>
          <w:sz w:val="24"/>
          <w:szCs w:val="24"/>
        </w:rPr>
        <w:t>tyczy)</w:t>
      </w:r>
    </w:p>
    <w:p w14:paraId="48B3FEF2" w14:textId="0EBF5B9A" w:rsidR="00B27640" w:rsidRPr="00F96176" w:rsidRDefault="00B27640" w:rsidP="00FE629B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 w:val="24"/>
          <w:lang w:eastAsia="ar-SA"/>
        </w:rPr>
      </w:pPr>
      <w:r w:rsidRPr="00FE629B">
        <w:rPr>
          <w:rFonts w:ascii="Arial" w:hAnsi="Arial" w:cs="Arial"/>
          <w:bCs/>
          <w:sz w:val="24"/>
        </w:rPr>
        <w:t xml:space="preserve">Należy </w:t>
      </w:r>
      <w:r w:rsidR="00FE629B">
        <w:rPr>
          <w:rFonts w:ascii="Arial" w:hAnsi="Arial" w:cs="Arial"/>
          <w:bCs/>
          <w:sz w:val="24"/>
        </w:rPr>
        <w:t>wykazać, że</w:t>
      </w:r>
      <w:r w:rsidR="00FE629B" w:rsidRPr="00FE629B">
        <w:rPr>
          <w:rFonts w:ascii="Arial" w:hAnsi="Arial" w:cs="Arial"/>
          <w:bCs/>
          <w:sz w:val="24"/>
        </w:rPr>
        <w:t xml:space="preserve"> zakupione pojazdy na potrzeby publicznego transportu zbiorowego spełnią wymogi „ekologicznie czystych pojazdów” w rozumieniu Dyrektywy Parlamentu Europejskiego i Rady (UE) 2019/1161 z dnia 20 czerwca 2019, zmieniającej dyrektywę 2009/33/WE w sprawie promowania ekologicznie czystych i energooszczędnych pojazdów transportu drogowego</w:t>
      </w:r>
      <w:r w:rsidRPr="00F96176">
        <w:rPr>
          <w:rFonts w:ascii="Arial" w:hAnsi="Arial" w:cs="Arial"/>
          <w:bCs/>
          <w:sz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68C7" w:rsidRPr="0036456E" w14:paraId="255B6B0F" w14:textId="77777777" w:rsidTr="00442FCA">
        <w:tc>
          <w:tcPr>
            <w:tcW w:w="9068" w:type="dxa"/>
          </w:tcPr>
          <w:p w14:paraId="4E00474D" w14:textId="728A5F0F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BBC2FA2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D7C51CF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3C1D4" w14:textId="77777777" w:rsidR="005F68C7" w:rsidRPr="00F96176" w:rsidRDefault="005F68C7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606452D" w14:textId="138ACB11" w:rsidR="00B27640" w:rsidRPr="00F96176" w:rsidRDefault="00B27640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Obiekty „</w:t>
      </w:r>
      <w:proofErr w:type="spellStart"/>
      <w:r w:rsidRPr="00F96176">
        <w:rPr>
          <w:rFonts w:ascii="Arial" w:hAnsi="Arial" w:cs="Arial"/>
          <w:b/>
          <w:bCs/>
          <w:sz w:val="24"/>
          <w:szCs w:val="24"/>
        </w:rPr>
        <w:t>Park&amp;Ride</w:t>
      </w:r>
      <w:proofErr w:type="spellEnd"/>
      <w:r w:rsidRPr="00F96176">
        <w:rPr>
          <w:rFonts w:ascii="Arial" w:hAnsi="Arial" w:cs="Arial"/>
          <w:b/>
          <w:bCs/>
          <w:sz w:val="24"/>
          <w:szCs w:val="24"/>
        </w:rPr>
        <w:t>” P&amp;R (parkuj i jedź) (jeśli dotyczy)</w:t>
      </w:r>
    </w:p>
    <w:p w14:paraId="33AF5695" w14:textId="663A5148" w:rsidR="008C7EAC" w:rsidRPr="00F96176" w:rsidRDefault="008C7EAC" w:rsidP="00F96176">
      <w:pPr>
        <w:keepNext/>
        <w:tabs>
          <w:tab w:val="num" w:pos="0"/>
        </w:tabs>
        <w:spacing w:line="240" w:lineRule="auto"/>
        <w:outlineLvl w:val="3"/>
        <w:rPr>
          <w:rFonts w:ascii="Arial" w:hAnsi="Arial" w:cs="Arial"/>
          <w:sz w:val="24"/>
          <w:szCs w:val="24"/>
        </w:rPr>
      </w:pPr>
      <w:r w:rsidRPr="00F96176">
        <w:rPr>
          <w:rFonts w:ascii="Arial" w:eastAsiaTheme="majorEastAsia" w:hAnsi="Arial" w:cs="Arial"/>
          <w:sz w:val="24"/>
          <w:szCs w:val="24"/>
        </w:rPr>
        <w:t xml:space="preserve">Należy </w:t>
      </w:r>
      <w:r w:rsidR="00157C75">
        <w:rPr>
          <w:rFonts w:ascii="Arial" w:eastAsiaTheme="majorEastAsia" w:hAnsi="Arial" w:cs="Arial"/>
          <w:sz w:val="24"/>
          <w:szCs w:val="24"/>
        </w:rPr>
        <w:t>opis</w:t>
      </w:r>
      <w:r w:rsidR="008056EA">
        <w:rPr>
          <w:rFonts w:ascii="Arial" w:eastAsiaTheme="majorEastAsia" w:hAnsi="Arial" w:cs="Arial"/>
          <w:sz w:val="24"/>
          <w:szCs w:val="24"/>
        </w:rPr>
        <w:t xml:space="preserve">ać, </w:t>
      </w:r>
      <w:r w:rsidR="00157C75">
        <w:rPr>
          <w:rFonts w:ascii="Arial" w:eastAsiaTheme="majorEastAsia" w:hAnsi="Arial" w:cs="Arial"/>
          <w:sz w:val="24"/>
          <w:szCs w:val="24"/>
        </w:rPr>
        <w:t>czy</w:t>
      </w:r>
      <w:r w:rsidRPr="00F96176">
        <w:rPr>
          <w:rFonts w:ascii="Arial" w:eastAsiaTheme="majorEastAsia" w:hAnsi="Arial" w:cs="Arial"/>
          <w:sz w:val="24"/>
          <w:szCs w:val="24"/>
        </w:rPr>
        <w:t xml:space="preserve"> obiekty </w:t>
      </w:r>
      <w:r w:rsidRPr="00F96176">
        <w:rPr>
          <w:rFonts w:ascii="Arial" w:hAnsi="Arial" w:cs="Arial"/>
          <w:sz w:val="24"/>
          <w:szCs w:val="24"/>
        </w:rPr>
        <w:t>P&amp;R (parkuj i jedź) objęte projektem zlokalizowane są/będą poza centrami miast oraz czy jest zapewniona odpowiednia integracja z publicznym transportem zbiorowym.</w:t>
      </w:r>
    </w:p>
    <w:p w14:paraId="20EE99E7" w14:textId="77777777" w:rsidR="00B27640" w:rsidRPr="00F96176" w:rsidRDefault="00B27640" w:rsidP="00F96176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4163A8" w:rsidRPr="0036456E" w14:paraId="6FA1A1AA" w14:textId="77777777" w:rsidTr="00FF64E1">
        <w:tc>
          <w:tcPr>
            <w:tcW w:w="9973" w:type="dxa"/>
          </w:tcPr>
          <w:p w14:paraId="26499908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4" w:name="_Hlk180412555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0808F76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F0C8D9E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4"/>
    </w:tbl>
    <w:p w14:paraId="33653A2A" w14:textId="77777777" w:rsidR="009D687F" w:rsidRPr="00F96176" w:rsidRDefault="009D687F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733D93FB" w14:textId="6DFB63F8" w:rsidR="003937A3" w:rsidRPr="00F96176" w:rsidRDefault="008C7EAC" w:rsidP="00C8614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Wsparcie infrastruktury </w:t>
      </w:r>
      <w:r w:rsidR="00A65638" w:rsidRPr="00F96176">
        <w:rPr>
          <w:rFonts w:ascii="Arial" w:hAnsi="Arial" w:cs="Arial"/>
          <w:b/>
          <w:bCs/>
          <w:sz w:val="24"/>
          <w:szCs w:val="24"/>
        </w:rPr>
        <w:t xml:space="preserve">do ładowania i tankowania pojazdów zeroemisyjnych dla użytkowników indywidualnych </w:t>
      </w:r>
      <w:r w:rsidRPr="00F96176">
        <w:rPr>
          <w:rFonts w:ascii="Arial" w:hAnsi="Arial" w:cs="Arial"/>
          <w:b/>
          <w:bCs/>
          <w:sz w:val="24"/>
          <w:szCs w:val="24"/>
        </w:rPr>
        <w:t>(jeśli dotyczy)</w:t>
      </w:r>
    </w:p>
    <w:p w14:paraId="6E6C1997" w14:textId="77777777" w:rsidR="003937A3" w:rsidRPr="003937A3" w:rsidRDefault="003937A3" w:rsidP="00F96176">
      <w:pPr>
        <w:pStyle w:val="Akapitzlist"/>
        <w:autoSpaceDE w:val="0"/>
        <w:autoSpaceDN w:val="0"/>
        <w:adjustRightInd w:val="0"/>
        <w:spacing w:beforeLines="60" w:before="144" w:afterLines="60" w:after="144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3937A3">
        <w:rPr>
          <w:rFonts w:ascii="Arial" w:eastAsia="Times New Roman" w:hAnsi="Arial" w:cs="Arial"/>
          <w:sz w:val="24"/>
          <w:szCs w:val="24"/>
          <w:lang w:eastAsia="ar-SA"/>
        </w:rPr>
        <w:t xml:space="preserve">Należy wykazać, że </w:t>
      </w:r>
      <w:r w:rsidRPr="003937A3">
        <w:rPr>
          <w:rFonts w:ascii="Arial" w:hAnsi="Arial" w:cs="Arial"/>
          <w:bCs/>
          <w:sz w:val="24"/>
          <w:szCs w:val="24"/>
        </w:rPr>
        <w:t>projekt dotyczący budowy lub rozbudowy infrastruktury do ładowania i tankowania pojazdów zeroemisyjnych dla użytkowników indywidualnych zapewni niedyskryminacyjny dostęp dla wszystkich użytkowników.</w:t>
      </w:r>
    </w:p>
    <w:p w14:paraId="441EB59C" w14:textId="77777777" w:rsidR="003937A3" w:rsidRPr="003937A3" w:rsidRDefault="003937A3" w:rsidP="00F96176">
      <w:pPr>
        <w:pStyle w:val="Akapitzlist"/>
        <w:autoSpaceDE w:val="0"/>
        <w:autoSpaceDN w:val="0"/>
        <w:adjustRightInd w:val="0"/>
        <w:spacing w:beforeLines="60" w:before="144" w:afterLines="60" w:after="144" w:line="24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3937A3">
        <w:rPr>
          <w:rFonts w:ascii="Arial" w:hAnsi="Arial" w:cs="Arial"/>
          <w:bCs/>
          <w:sz w:val="24"/>
          <w:szCs w:val="24"/>
        </w:rPr>
        <w:t>Należy wykazać, że nie ma możliwości finansowania inwestycji ze źródeł prywatnych.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36456E" w14:paraId="258E3DEF" w14:textId="77777777" w:rsidTr="0056236E">
        <w:tc>
          <w:tcPr>
            <w:tcW w:w="9068" w:type="dxa"/>
          </w:tcPr>
          <w:p w14:paraId="6929EFF8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5623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8E7F62E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45DC0A91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E5B96D" w14:textId="3A78DB39" w:rsidR="00F12C86" w:rsidRPr="0080095D" w:rsidRDefault="00F12C86" w:rsidP="003937A3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F12C86">
        <w:rPr>
          <w:rFonts w:ascii="Arial" w:eastAsiaTheme="majorEastAsia" w:hAnsi="Arial" w:cs="Arial"/>
          <w:b/>
          <w:bCs/>
        </w:rPr>
        <w:t>Zgodność projektu z obowiązującą Strategią ZIT</w:t>
      </w:r>
    </w:p>
    <w:p w14:paraId="786E3CD0" w14:textId="489D88DE" w:rsidR="003937A3" w:rsidRPr="00E30A17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360"/>
        <w:rPr>
          <w:rFonts w:ascii="Arial" w:eastAsia="Times New Roman" w:hAnsi="Arial" w:cs="Arial"/>
          <w:color w:val="auto"/>
          <w:szCs w:val="22"/>
          <w:lang w:eastAsia="ar-SA"/>
        </w:rPr>
      </w:pPr>
      <w:r w:rsidRPr="00293BAE">
        <w:rPr>
          <w:rFonts w:ascii="Arial" w:eastAsia="Calibri" w:hAnsi="Arial" w:cs="Arial"/>
          <w:szCs w:val="22"/>
          <w:lang w:eastAsia="en-US"/>
        </w:rPr>
        <w:t>Należy uzasadnić zgodność projektu z</w:t>
      </w:r>
      <w:r w:rsidRPr="00E30A17">
        <w:rPr>
          <w:rFonts w:ascii="Arial" w:eastAsia="Times New Roman" w:hAnsi="Arial" w:cs="Arial"/>
          <w:lang w:eastAsia="ar-SA"/>
        </w:rPr>
        <w:t xml:space="preserve"> 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 xml:space="preserve">obowiązującą Strategią </w:t>
      </w:r>
      <w:r>
        <w:rPr>
          <w:rFonts w:ascii="Arial" w:eastAsia="Times New Roman" w:hAnsi="Arial" w:cs="Arial"/>
          <w:color w:val="auto"/>
          <w:szCs w:val="22"/>
          <w:lang w:eastAsia="ar-SA"/>
        </w:rPr>
        <w:t>Rozwoju Białostockiego Obszaru Funkcjonalnego do 2030 roku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>, pozytywnie zaopiniowaną zgodnie z art. 34 ust. 6 pkt. 2 ustawy o zasadach realizacji zadań finansowanych ze środków europejskich w perspektywie finansowej 2021-2027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Należy wskazać, czy projekt jest ujęty na liście projektów realizujących cele Strategii oraz przewidziany do dofinansowania w </w:t>
      </w:r>
      <w:proofErr w:type="spellStart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>FEdP</w:t>
      </w:r>
      <w:proofErr w:type="spellEnd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Należy opisać, jak </w:t>
      </w:r>
      <w:r w:rsidRPr="00042EC8">
        <w:rPr>
          <w:rFonts w:ascii="Arial" w:eastAsia="Times New Roman" w:hAnsi="Arial" w:cs="Arial"/>
          <w:color w:val="auto"/>
          <w:szCs w:val="22"/>
          <w:lang w:eastAsia="ar-SA"/>
        </w:rPr>
        <w:t>projekt wpisuje się w cele strategiczne i kierunki działań określone w obowiązującej odpowiedniej Strategii ZIT</w:t>
      </w:r>
      <w:r>
        <w:rPr>
          <w:rFonts w:ascii="Arial" w:eastAsia="Times New Roman" w:hAnsi="Arial" w:cs="Arial"/>
          <w:color w:val="auto"/>
          <w:szCs w:val="22"/>
          <w:lang w:eastAsia="ar-SA"/>
        </w:rPr>
        <w:t>.</w:t>
      </w:r>
      <w:r w:rsidRPr="00042EC8" w:rsidDel="00DA1143">
        <w:rPr>
          <w:rFonts w:ascii="Arial" w:eastAsia="Times New Roman" w:hAnsi="Arial" w:cs="Arial"/>
          <w:color w:val="auto"/>
          <w:szCs w:val="22"/>
          <w:lang w:eastAsia="ar-SA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8A0143" w14:paraId="3697FBEA" w14:textId="77777777" w:rsidTr="00696F49">
        <w:tc>
          <w:tcPr>
            <w:tcW w:w="9973" w:type="dxa"/>
          </w:tcPr>
          <w:p w14:paraId="381FF79E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  <w:p w14:paraId="3D6B2C36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538BD5DA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8C8AD" w14:textId="77777777" w:rsidR="003937A3" w:rsidRPr="00F96176" w:rsidRDefault="003937A3" w:rsidP="00F96176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9A29671" w14:textId="77777777" w:rsidR="003937A3" w:rsidRPr="0080095D" w:rsidRDefault="003937A3" w:rsidP="003937A3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80095D">
        <w:rPr>
          <w:rFonts w:ascii="Arial" w:eastAsiaTheme="majorEastAsia" w:hAnsi="Arial" w:cs="Arial"/>
          <w:b/>
          <w:bCs/>
        </w:rPr>
        <w:t>Z</w:t>
      </w:r>
      <w:r>
        <w:rPr>
          <w:rFonts w:ascii="Arial" w:eastAsiaTheme="majorEastAsia" w:hAnsi="Arial" w:cs="Arial"/>
          <w:b/>
          <w:bCs/>
        </w:rPr>
        <w:t>integrowany charakter projektu</w:t>
      </w:r>
    </w:p>
    <w:p w14:paraId="4D7240BF" w14:textId="77777777" w:rsidR="003937A3" w:rsidRPr="00B03413" w:rsidRDefault="003937A3" w:rsidP="003937A3">
      <w:pPr>
        <w:pStyle w:val="Default"/>
        <w:spacing w:beforeLines="60" w:before="144" w:afterLines="60" w:after="144" w:line="276" w:lineRule="auto"/>
        <w:rPr>
          <w:rFonts w:ascii="Arial" w:hAnsi="Arial" w:cs="Arial"/>
          <w:color w:val="auto"/>
          <w:szCs w:val="22"/>
        </w:rPr>
      </w:pPr>
      <w:r w:rsidRPr="00B03413">
        <w:rPr>
          <w:rFonts w:ascii="Arial" w:hAnsi="Arial" w:cs="Arial"/>
          <w:bCs/>
          <w:color w:val="auto"/>
          <w:szCs w:val="22"/>
        </w:rPr>
        <w:t>Należy opisać, czy projekt ma zintegrowany charakter, rozumiany zgodnie z zasadami opisanymi w dokumencie Zasady realizacji instrumentów terytorialnych w Polsce w perspektywie finansowej UE na lata 2021-2027.</w:t>
      </w:r>
    </w:p>
    <w:p w14:paraId="332AB51B" w14:textId="77777777" w:rsidR="003937A3" w:rsidRPr="00D26B8F" w:rsidRDefault="003937A3" w:rsidP="003937A3">
      <w:pPr>
        <w:pStyle w:val="Default"/>
        <w:spacing w:beforeLines="60" w:before="144" w:afterLines="60" w:after="144"/>
        <w:rPr>
          <w:rFonts w:ascii="Arial" w:hAnsi="Arial" w:cs="Arial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8A0143" w14:paraId="5E6D97C1" w14:textId="77777777" w:rsidTr="00696F49">
        <w:tc>
          <w:tcPr>
            <w:tcW w:w="9973" w:type="dxa"/>
          </w:tcPr>
          <w:p w14:paraId="08729EDC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0450D6D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6420EE94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BBD08" w14:textId="77777777" w:rsidR="00A65638" w:rsidRPr="00F96176" w:rsidRDefault="00A65638" w:rsidP="00F96176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6C9FDF0" w14:textId="5F942AA5" w:rsidR="00DB5A71" w:rsidRPr="00F96176" w:rsidRDefault="007231E4" w:rsidP="00736F05">
      <w:pPr>
        <w:pStyle w:val="Akapitzlist"/>
        <w:numPr>
          <w:ilvl w:val="0"/>
          <w:numId w:val="15"/>
        </w:numPr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 xml:space="preserve">Uzasadnienie konieczności realizacji projektu i zgodność z celami </w:t>
      </w:r>
      <w:proofErr w:type="spellStart"/>
      <w:r w:rsidRPr="00F96176">
        <w:rPr>
          <w:rFonts w:ascii="Arial" w:eastAsiaTheme="majorEastAsia" w:hAnsi="Arial" w:cs="Arial"/>
          <w:b/>
          <w:bCs/>
          <w:sz w:val="24"/>
          <w:szCs w:val="24"/>
        </w:rPr>
        <w:t>FEdP</w:t>
      </w:r>
      <w:proofErr w:type="spellEnd"/>
    </w:p>
    <w:p w14:paraId="56605569" w14:textId="4A6D3ADC" w:rsidR="007231E4" w:rsidRPr="00F96176" w:rsidRDefault="007231E4" w:rsidP="00F96176">
      <w:pPr>
        <w:pStyle w:val="Default"/>
        <w:widowControl/>
        <w:numPr>
          <w:ilvl w:val="1"/>
          <w:numId w:val="58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Należy uzasadnić potrzebę</w:t>
      </w:r>
      <w:r w:rsidRPr="00F96176" w:rsidDel="00B94B8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realizacji projektu oraz konieczność finansowania projektu środkami publicznymi, w odniesieniu do poniższych aspektów:</w:t>
      </w:r>
    </w:p>
    <w:p w14:paraId="48B98E36" w14:textId="77777777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czy projekt stanowi odpowiedź na zidentyfikowane problemy/potrzeby lokalnej społeczności i Wnioskodawcy, </w:t>
      </w:r>
    </w:p>
    <w:p w14:paraId="11918B21" w14:textId="77777777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czy planowane działania są adekwatne do potrzeb lokalnej społeczności i Wnioskodawcy, </w:t>
      </w:r>
    </w:p>
    <w:p w14:paraId="5496CDF2" w14:textId="6B1A2743" w:rsidR="00675C67" w:rsidRPr="00F96176" w:rsidRDefault="00675C67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czy planowane działania umożliwi</w:t>
      </w:r>
      <w:r w:rsidR="002227A9" w:rsidRPr="00F96176">
        <w:rPr>
          <w:rFonts w:ascii="Arial" w:hAnsi="Arial" w:cs="Arial"/>
          <w:sz w:val="24"/>
          <w:szCs w:val="24"/>
        </w:rPr>
        <w:t>ą</w:t>
      </w:r>
      <w:r w:rsidRPr="00F96176">
        <w:rPr>
          <w:rFonts w:ascii="Arial" w:hAnsi="Arial" w:cs="Arial"/>
          <w:sz w:val="24"/>
          <w:szCs w:val="24"/>
        </w:rPr>
        <w:t xml:space="preserve"> realizację projektu</w:t>
      </w:r>
      <w:r w:rsidR="007A20B8" w:rsidRPr="00F96176">
        <w:rPr>
          <w:rFonts w:ascii="Arial" w:hAnsi="Arial" w:cs="Arial"/>
          <w:sz w:val="24"/>
          <w:szCs w:val="24"/>
        </w:rPr>
        <w:t>,</w:t>
      </w:r>
    </w:p>
    <w:p w14:paraId="17933ED7" w14:textId="6774923D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konieczność finansowania projektu środkami publicznymi</w:t>
      </w:r>
      <w:r w:rsidR="00842D2E" w:rsidRPr="00F96176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231E4" w:rsidRPr="0036456E" w14:paraId="22A916BD" w14:textId="77777777" w:rsidTr="00143320">
        <w:tc>
          <w:tcPr>
            <w:tcW w:w="9068" w:type="dxa"/>
          </w:tcPr>
          <w:p w14:paraId="06DE8D62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2E2A2D3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6B8D314C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16D34" w14:textId="4E50F570" w:rsidR="00DD2F79" w:rsidRPr="00E20209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11.2</w:t>
      </w:r>
      <w:r w:rsidR="00DD2F7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="00DD2F79" w:rsidRPr="00E2020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Należy określić cele realizacji projektu i opisać, czy są zbieżne z odpowiednim celem szczegółowym programu Fundusze Europejskie dla Podlaskiego 2021-2027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D2F79" w:rsidRPr="00E20209" w14:paraId="21DD7E89" w14:textId="77777777" w:rsidTr="00E20209">
        <w:tc>
          <w:tcPr>
            <w:tcW w:w="9068" w:type="dxa"/>
          </w:tcPr>
          <w:p w14:paraId="10630A0C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E20209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28516C4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6C72B87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A1A50" w14:textId="5DD3EC7A" w:rsidR="007231E4" w:rsidRPr="00F96176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11.3</w:t>
      </w:r>
      <w:r w:rsidR="008056EA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="007231E4"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Należy </w:t>
      </w:r>
      <w:r w:rsidR="0021518F"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wykazać, że wskaźniki projektu odzwierciedlają założone cele projektu</w:t>
      </w:r>
    </w:p>
    <w:p w14:paraId="366E41BA" w14:textId="4A816BE2" w:rsidR="006606F0" w:rsidRPr="00F96176" w:rsidRDefault="006606F0" w:rsidP="006606F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Należy wykazać, </w:t>
      </w:r>
      <w:proofErr w:type="gramStart"/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że  </w:t>
      </w:r>
      <w:r w:rsidRPr="00F96176">
        <w:rPr>
          <w:rFonts w:ascii="Arial" w:hAnsi="Arial" w:cs="Arial"/>
          <w:sz w:val="24"/>
          <w:szCs w:val="24"/>
        </w:rPr>
        <w:t>wskaźniki</w:t>
      </w:r>
      <w:proofErr w:type="gramEnd"/>
      <w:r w:rsidRPr="00F96176">
        <w:rPr>
          <w:rFonts w:ascii="Arial" w:hAnsi="Arial" w:cs="Arial"/>
          <w:sz w:val="24"/>
          <w:szCs w:val="24"/>
        </w:rPr>
        <w:t xml:space="preserve"> osiągnięcia celów projektu </w:t>
      </w:r>
      <w:r w:rsidR="008056EA">
        <w:rPr>
          <w:rFonts w:ascii="Arial" w:hAnsi="Arial" w:cs="Arial"/>
          <w:sz w:val="24"/>
          <w:szCs w:val="24"/>
        </w:rPr>
        <w:t>są</w:t>
      </w:r>
      <w:r w:rsidRPr="00F96176">
        <w:rPr>
          <w:rFonts w:ascii="Arial" w:hAnsi="Arial" w:cs="Arial"/>
          <w:sz w:val="24"/>
          <w:szCs w:val="24"/>
        </w:rPr>
        <w:t xml:space="preserve"> adekwatne do zakresu rzeczowego projektu i celów oraz </w:t>
      </w:r>
      <w:r w:rsidR="008056EA">
        <w:rPr>
          <w:rFonts w:ascii="Arial" w:hAnsi="Arial" w:cs="Arial"/>
          <w:sz w:val="24"/>
          <w:szCs w:val="24"/>
        </w:rPr>
        <w:t>zostaną</w:t>
      </w:r>
      <w:r w:rsidRPr="00F96176">
        <w:rPr>
          <w:rFonts w:ascii="Arial" w:hAnsi="Arial" w:cs="Arial"/>
          <w:sz w:val="24"/>
          <w:szCs w:val="24"/>
        </w:rPr>
        <w:t xml:space="preserve"> osiągnięte przy danych nakładach i założonym sposobie realizacji projektu.</w:t>
      </w:r>
    </w:p>
    <w:p w14:paraId="5DE436B1" w14:textId="77777777" w:rsidR="006606F0" w:rsidRPr="00F96176" w:rsidRDefault="006606F0" w:rsidP="006606F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0E6F842" w14:textId="086CA45C" w:rsidR="006606F0" w:rsidRPr="00F96176" w:rsidRDefault="008056EA" w:rsidP="00F9617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Należy opisać </w:t>
      </w:r>
      <w:r w:rsidR="006606F0" w:rsidRPr="00F96176">
        <w:rPr>
          <w:rFonts w:ascii="Arial" w:hAnsi="Arial" w:cs="Arial"/>
          <w:sz w:val="24"/>
          <w:szCs w:val="24"/>
        </w:rPr>
        <w:t xml:space="preserve">metodologię wyliczenia wskaźników, tj. opis szacowania, pomiaru i monitorowania wskaźnika.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675C67" w:rsidRPr="0036456E" w14:paraId="58938589" w14:textId="77777777" w:rsidTr="002A6164">
        <w:tc>
          <w:tcPr>
            <w:tcW w:w="9068" w:type="dxa"/>
          </w:tcPr>
          <w:p w14:paraId="01619B90" w14:textId="77777777" w:rsidR="00675C67" w:rsidRPr="00F96176" w:rsidRDefault="00675C67" w:rsidP="002A616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8999FC8" w14:textId="77777777" w:rsidR="00675C67" w:rsidRPr="00F96176" w:rsidRDefault="00675C67" w:rsidP="002A616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85620" w14:textId="56321F59" w:rsidR="0099101D" w:rsidRPr="00F96176" w:rsidRDefault="0099101D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Sposób szacowania wydatków kwalifikowalnych projektu</w:t>
      </w:r>
    </w:p>
    <w:p w14:paraId="1D99103A" w14:textId="1FA2FDDB" w:rsidR="00DD2F79" w:rsidRDefault="0099101D" w:rsidP="00241827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Należy przedstawić sposób </w:t>
      </w:r>
      <w:bookmarkStart w:id="15" w:name="_Hlk180414278"/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szacowania wydatków kwalifikowalnych </w:t>
      </w:r>
      <w:bookmarkEnd w:id="15"/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zadeklarowanych w budżecie projektu tzn. opisać czy przedłożono kosztorysy inwestorskie, a w przypadku zastosowania załącznika (np. w formie tabelarycznej), co jest zgodne z Instrukcją wypełniania załączników, należy opisać w jaki sposób oszacowano wydatki np. na podstawie ofert (należy załączyć oferty lub linki do ofert). </w:t>
      </w:r>
    </w:p>
    <w:p w14:paraId="1B5E0359" w14:textId="1B18B309" w:rsidR="00407BDF" w:rsidRPr="00F96176" w:rsidRDefault="00407BDF" w:rsidP="00241827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Wydatki powinny być precyzyjnie identyfikowane i </w:t>
      </w:r>
      <w:r w:rsidRPr="00F96176">
        <w:rPr>
          <w:rFonts w:ascii="Arial" w:hAnsi="Arial" w:cs="Arial"/>
          <w:sz w:val="24"/>
          <w:szCs w:val="24"/>
        </w:rPr>
        <w:t>szczegółowe w stosunku do rodzaju projektu oraz jego zakresu rzeczowego i finansowego.</w:t>
      </w:r>
    </w:p>
    <w:p w14:paraId="5BDEA056" w14:textId="2D89C4C0" w:rsidR="00407BDF" w:rsidRPr="00F96176" w:rsidRDefault="00407BDF" w:rsidP="00241827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 xml:space="preserve">Należy uzasadnić ekonomicznie wydatki, dokonując świadomego wyboru i analizy opcji. </w:t>
      </w:r>
    </w:p>
    <w:p w14:paraId="2B591F8C" w14:textId="601791C3" w:rsidR="009A08D6" w:rsidRPr="00F96176" w:rsidRDefault="009A08D6" w:rsidP="00F96176">
      <w:pPr>
        <w:spacing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Należy zwrócić uwagę na prawidłowo zastosowa</w:t>
      </w:r>
      <w:r w:rsidR="00300F16" w:rsidRPr="00F96176">
        <w:rPr>
          <w:rFonts w:ascii="Arial" w:hAnsi="Arial" w:cs="Arial"/>
          <w:sz w:val="24"/>
          <w:szCs w:val="24"/>
        </w:rPr>
        <w:t>ną</w:t>
      </w:r>
      <w:r w:rsidRPr="00F96176">
        <w:rPr>
          <w:rFonts w:ascii="Arial" w:hAnsi="Arial" w:cs="Arial"/>
          <w:sz w:val="24"/>
          <w:szCs w:val="24"/>
        </w:rPr>
        <w:t xml:space="preserve"> metodologię rozliczania wydatków w oparciu o stawki ryczałtowe (jeśli dotyczy). Wysokość kosztów pośrednich nie może przekroczyć poziomu kosztów wskazanych w Regulaminie wyboru projektów (jeśli dotyczy).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9101D" w:rsidRPr="0036456E" w14:paraId="5FA390A9" w14:textId="77777777" w:rsidTr="00143320">
        <w:tc>
          <w:tcPr>
            <w:tcW w:w="9973" w:type="dxa"/>
          </w:tcPr>
          <w:p w14:paraId="76327413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89BE4C2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C42B4" w14:textId="77777777" w:rsidR="0099101D" w:rsidRPr="00F96176" w:rsidRDefault="0099101D" w:rsidP="00736F05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2152B4EC" w14:textId="77777777" w:rsidR="0099101D" w:rsidRPr="00F96176" w:rsidRDefault="0099101D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Wykonalność techniczna projektu</w:t>
      </w:r>
    </w:p>
    <w:p w14:paraId="7CF39474" w14:textId="3089A1DC" w:rsidR="0099101D" w:rsidRPr="00F96176" w:rsidRDefault="0099101D" w:rsidP="00A411F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Należy opisać zasoby techniczne gwarantujące prawidłową realizację projektu </w:t>
      </w:r>
    </w:p>
    <w:p w14:paraId="13E26A0E" w14:textId="354C297D" w:rsidR="00121904" w:rsidRPr="00F96176" w:rsidRDefault="00121904" w:rsidP="00D42983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sz w:val="24"/>
          <w:lang w:eastAsia="ar-SA"/>
        </w:rPr>
        <w:t xml:space="preserve">Należy przedstawić posiadane </w:t>
      </w:r>
      <w:r w:rsidRPr="00F96176">
        <w:rPr>
          <w:rFonts w:ascii="Arial" w:hAnsi="Arial" w:cs="Arial"/>
          <w:sz w:val="24"/>
        </w:rPr>
        <w:t>zasoby techniczne i ludzkie niezbędne do prawidłowej realizacji projektu oraz scharakteryzować je pod względem administracyjnym i stricte związanym z przedmiotem projektu.</w:t>
      </w:r>
    </w:p>
    <w:p w14:paraId="2793145D" w14:textId="2E83587A" w:rsidR="0099101D" w:rsidRPr="00F96176" w:rsidRDefault="0099101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W przypadku, gdy Wnioskodawca nie posiada wszystkich zasobów w momencie składania wniosku o dofinansowanie, należy opisać, w jaki sposób zostaną one pozyskane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9101D" w:rsidRPr="0036456E" w14:paraId="2344F48C" w14:textId="77777777" w:rsidTr="003A5DB6">
        <w:tc>
          <w:tcPr>
            <w:tcW w:w="9068" w:type="dxa"/>
          </w:tcPr>
          <w:p w14:paraId="5080EEC1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D543A13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2CE23E" w14:textId="7FE60699" w:rsidR="003A5DB6" w:rsidRPr="00F96176" w:rsidRDefault="003A5DB6" w:rsidP="00736F05">
      <w:pPr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Należy wskazać, jakich pozwoleń/ praw/zgód wymaga inwestycja</w:t>
      </w:r>
    </w:p>
    <w:p w14:paraId="6E47B5A0" w14:textId="069C66AE" w:rsidR="00F12C86" w:rsidRDefault="00B3240D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W przypadku, gdy dla projektu wymagane jest posiadanie praw własności, pozwoleń, licencji, itp., a na moment złożenia wniosku o dofinansowanie Wnioskodawca ich nie posiada, powinien w sposób wiarygodny opisać stan zaawansowania prac nad ich </w:t>
      </w:r>
      <w:r w:rsidRPr="00F96176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uzyskaniem oraz podać przewidywany termin uzyskania przedmiotowych dokumentów. </w:t>
      </w:r>
    </w:p>
    <w:p w14:paraId="46F02E7A" w14:textId="7DA0FFC0" w:rsidR="003A5DB6" w:rsidRPr="00F96176" w:rsidRDefault="00B3240D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Należy opisać również jaką dokumentacją techniczną dysponuje Wnioskodawca. Wnioskodawca na moment aplikacji powinien dysponować </w:t>
      </w: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kompletną dokumentacją techniczną.</w:t>
      </w: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 W zależności od tego, jakiego zezwolenia wymaga inwestycja może być to projekt budowlany stanowiący podstawę do uzyskania decyzji Pozwolenia na </w:t>
      </w:r>
      <w:proofErr w:type="gramStart"/>
      <w:r w:rsidRPr="00F96176">
        <w:rPr>
          <w:rFonts w:ascii="Arial" w:eastAsia="Times New Roman" w:hAnsi="Arial" w:cs="Arial"/>
          <w:sz w:val="24"/>
          <w:szCs w:val="24"/>
          <w:lang w:eastAsia="ar-SA"/>
        </w:rPr>
        <w:t>budowę,</w:t>
      </w:r>
      <w:proofErr w:type="gramEnd"/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 lub uproszczona dokumentacja w przypadku zgłoszenia lub gdy żadne z powyższych zezwoleń nie jest wymagane – wymogi w tym zakresie zostały opisane w Instrukcji wypełniania załączników.</w:t>
      </w:r>
      <w:r w:rsidR="00F12C86">
        <w:rPr>
          <w:rFonts w:ascii="Arial" w:eastAsia="Times New Roman" w:hAnsi="Arial" w:cs="Arial"/>
          <w:sz w:val="24"/>
          <w:szCs w:val="24"/>
          <w:lang w:eastAsia="ar-SA"/>
        </w:rPr>
        <w:t xml:space="preserve"> Ważne jest</w:t>
      </w:r>
      <w:r w:rsidR="00947CE7">
        <w:rPr>
          <w:rFonts w:ascii="Arial" w:eastAsia="Times New Roman" w:hAnsi="Arial" w:cs="Arial"/>
          <w:sz w:val="24"/>
          <w:szCs w:val="24"/>
          <w:lang w:eastAsia="ar-SA"/>
        </w:rPr>
        <w:t>, aby dokumentacja techniczna obejmowała zakres projektu i była podstawą do przygotowania wniosku o dofinansowanie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710BB06D" w14:textId="77777777" w:rsidTr="00143320">
        <w:tc>
          <w:tcPr>
            <w:tcW w:w="9973" w:type="dxa"/>
          </w:tcPr>
          <w:p w14:paraId="0733E2E1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180417221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C937C12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6"/>
    <w:p w14:paraId="687C4965" w14:textId="77777777" w:rsidR="003A5DB6" w:rsidRPr="00F96176" w:rsidRDefault="003A5DB6" w:rsidP="00736F05">
      <w:pPr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Harmonogram realizacji projektu</w:t>
      </w:r>
    </w:p>
    <w:p w14:paraId="03189504" w14:textId="77777777" w:rsidR="003A5DB6" w:rsidRPr="00F96176" w:rsidRDefault="003A5DB6" w:rsidP="00736F05">
      <w:pPr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 xml:space="preserve">Należy przedstawić harmonogram realizacji projektu oraz uzasadnić jego racjonalność i wykonalność przy uwzględnieniu takich aspektów jak np.: </w:t>
      </w:r>
    </w:p>
    <w:p w14:paraId="61196E74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 xml:space="preserve">zakres rzeczowy, </w:t>
      </w:r>
    </w:p>
    <w:p w14:paraId="27AF343B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 xml:space="preserve">procedury przetargowe, </w:t>
      </w:r>
    </w:p>
    <w:p w14:paraId="07738EFB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>ramy czasowe,</w:t>
      </w:r>
    </w:p>
    <w:p w14:paraId="7740FAF6" w14:textId="77777777" w:rsidR="003A5DB6" w:rsidRPr="00F96176" w:rsidRDefault="003A5DB6" w:rsidP="007A20B8">
      <w:pPr>
        <w:numPr>
          <w:ilvl w:val="0"/>
          <w:numId w:val="5"/>
        </w:numPr>
        <w:suppressAutoHyphens/>
        <w:spacing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>inne okoliczności warunkujące terminową realizację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65BC8BB8" w14:textId="77777777" w:rsidTr="00143320">
        <w:tc>
          <w:tcPr>
            <w:tcW w:w="9068" w:type="dxa"/>
          </w:tcPr>
          <w:p w14:paraId="12E8B006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85066758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3B58504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7"/>
    </w:tbl>
    <w:p w14:paraId="5C240043" w14:textId="77777777" w:rsidR="002117DB" w:rsidRPr="00F96176" w:rsidRDefault="002117DB" w:rsidP="00736F0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C2AFFC0" w14:textId="77777777" w:rsidR="002117DB" w:rsidRPr="00F96176" w:rsidRDefault="002117DB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Wykonalność finansowa i ekonomiczna projektu</w:t>
      </w:r>
    </w:p>
    <w:p w14:paraId="48A25ACA" w14:textId="77777777" w:rsidR="002117DB" w:rsidRPr="00F96176" w:rsidRDefault="002117DB" w:rsidP="00736F05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781E2E8" w14:textId="77777777" w:rsidR="002117DB" w:rsidRPr="00F96176" w:rsidRDefault="002117DB" w:rsidP="00842D2E">
      <w:pPr>
        <w:pStyle w:val="Akapitzlist"/>
        <w:numPr>
          <w:ilvl w:val="1"/>
          <w:numId w:val="15"/>
        </w:numPr>
        <w:ind w:left="993" w:hanging="709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18" w:name="_Toc138840678"/>
      <w:bookmarkStart w:id="19" w:name="_Toc180402098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Analiza finansowa, w tym obliczenie wartości dofinansowania</w:t>
      </w:r>
      <w:bookmarkEnd w:id="18"/>
      <w:bookmarkEnd w:id="19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</w:t>
      </w:r>
    </w:p>
    <w:p w14:paraId="22963FE6" w14:textId="77777777" w:rsidR="00112217" w:rsidRPr="00F96176" w:rsidRDefault="00112217" w:rsidP="00F96176">
      <w:pPr>
        <w:pStyle w:val="Akapitzlist"/>
        <w:ind w:left="993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4C596B12" w14:textId="77777777" w:rsidR="00E5786F" w:rsidRDefault="00E5786F" w:rsidP="00DF13CE">
      <w:pPr>
        <w:pStyle w:val="Akapitzlist"/>
        <w:spacing w:before="240"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Metodyka przeprowadzenia analizy finansowej uzależniona jest od wartości całkowitej projektu:</w:t>
      </w:r>
    </w:p>
    <w:p w14:paraId="1D6D62FD" w14:textId="77777777" w:rsidR="00E5786F" w:rsidRDefault="00E5786F" w:rsidP="00E5786F">
      <w:pPr>
        <w:pStyle w:val="Akapitzlist"/>
        <w:numPr>
          <w:ilvl w:val="0"/>
          <w:numId w:val="59"/>
        </w:numPr>
        <w:spacing w:before="240" w:line="24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Dla projektów o wartości całkowitej powyżej 5 mln PLN (ścieżka pełna)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, zgodnie z metodologią zawartą w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Wytycznych dotyczących zagadnień związanych z przygotowaniem projektów inwestycyjnych, w tym hybrydowych na lata 2021-2027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(dalej Wytyczne):</w:t>
      </w:r>
    </w:p>
    <w:p w14:paraId="087B4866" w14:textId="77777777" w:rsidR="00E5786F" w:rsidRDefault="00E5786F" w:rsidP="00E5786F">
      <w:pPr>
        <w:pStyle w:val="Akapitzlist"/>
        <w:numPr>
          <w:ilvl w:val="0"/>
          <w:numId w:val="60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analizę należy przedstawić w oparciu o metodę DCF (zdyskontowane przepływy pieniężne) zgodnie z Podrozdziałem 6.4 Wytycznych,</w:t>
      </w:r>
    </w:p>
    <w:p w14:paraId="7C952547" w14:textId="77777777" w:rsidR="00E5786F" w:rsidRDefault="00E5786F" w:rsidP="00E5786F">
      <w:pPr>
        <w:pStyle w:val="Akapitzlist"/>
        <w:numPr>
          <w:ilvl w:val="0"/>
          <w:numId w:val="60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analizę przeprowadza się w cenach stałych. Nie dopuszcza się stosowania cen bieżących,</w:t>
      </w:r>
    </w:p>
    <w:p w14:paraId="00C405CA" w14:textId="77777777" w:rsidR="00E5786F" w:rsidRDefault="00E5786F" w:rsidP="00E5786F">
      <w:pPr>
        <w:pStyle w:val="Akapitzlist"/>
        <w:numPr>
          <w:ilvl w:val="0"/>
          <w:numId w:val="60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wartość rezydualna określana jest w oparciu o bieżącą wartość netto przepływów pieniężnych wygenerowanych po zakończeniu okresu odniesienia (horyzonty czasowe dla poszczególnych sektorów: Infrastruktura przeciwpowodziowa – 30 lat, Transport – 30 lat, Infrastruktura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n-US"/>
        </w:rPr>
        <w:t>wodno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– kanalizacyjna – 30 lat, Cyfryzacja –15 lat, Systemy ratownictwa –15 lat, Pozostałe sektory – 15 lat),</w:t>
      </w:r>
    </w:p>
    <w:p w14:paraId="7B1EC68F" w14:textId="77777777" w:rsidR="00E5786F" w:rsidRDefault="00E5786F" w:rsidP="00E5786F">
      <w:pPr>
        <w:pStyle w:val="Akapitzlist"/>
        <w:numPr>
          <w:ilvl w:val="0"/>
          <w:numId w:val="60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należy wyliczyć wskaźniki efektywności: FNPV/C, FRR/C oraz FNPV/K i FRR/K,</w:t>
      </w:r>
    </w:p>
    <w:p w14:paraId="66B45448" w14:textId="77777777" w:rsidR="00E5786F" w:rsidRDefault="00E5786F" w:rsidP="00E5786F">
      <w:pPr>
        <w:pStyle w:val="Akapitzlist"/>
        <w:numPr>
          <w:ilvl w:val="0"/>
          <w:numId w:val="60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>należy wykazać zasoby na pokrycie kosztów eksploatacji i utrzymania zgodnie z Podrozdziałem 6.8 Wytycznych.</w:t>
      </w:r>
    </w:p>
    <w:p w14:paraId="2F124EF6" w14:textId="77777777" w:rsidR="00E5786F" w:rsidRDefault="00E5786F" w:rsidP="00DF13CE">
      <w:pPr>
        <w:spacing w:line="240" w:lineRule="auto"/>
        <w:ind w:left="567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Szczegółowe obliczenia należy zawrzeć w modelu finansowym, w USW należy wykazać jedynie założenia i wyniki analizy.</w:t>
      </w:r>
    </w:p>
    <w:p w14:paraId="6C6BF00F" w14:textId="77777777" w:rsidR="00E5786F" w:rsidRDefault="00E5786F" w:rsidP="00E5786F">
      <w:pPr>
        <w:pStyle w:val="Akapitzlist"/>
        <w:numPr>
          <w:ilvl w:val="0"/>
          <w:numId w:val="59"/>
        </w:numPr>
        <w:spacing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Dla projektów o wartości całkowitej do 5 mln PLN włącznie (ścieżka uproszczona):</w:t>
      </w:r>
    </w:p>
    <w:p w14:paraId="03E54E3D" w14:textId="77777777" w:rsidR="00E5786F" w:rsidRDefault="00E5786F" w:rsidP="00E5786F">
      <w:pPr>
        <w:pStyle w:val="Akapitzlist"/>
        <w:numPr>
          <w:ilvl w:val="0"/>
          <w:numId w:val="61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odstępuje się od obowiązku stosowania metody DCF oraz wyliczania wskaźników FNPV i FRR,</w:t>
      </w:r>
    </w:p>
    <w:p w14:paraId="0EF72519" w14:textId="77777777" w:rsidR="00E5786F" w:rsidRDefault="00E5786F" w:rsidP="00E5786F">
      <w:pPr>
        <w:pStyle w:val="Akapitzlist"/>
        <w:numPr>
          <w:ilvl w:val="0"/>
          <w:numId w:val="61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dopuszcza się sporządzenie analizy w cenach bieżących, co ułatwia weryfikację realnej płynności i trwałości projektu.</w:t>
      </w:r>
    </w:p>
    <w:p w14:paraId="3A56E6A1" w14:textId="77777777" w:rsidR="00E5786F" w:rsidRDefault="00E5786F" w:rsidP="00E5786F">
      <w:pPr>
        <w:pStyle w:val="Akapitzlist"/>
        <w:numPr>
          <w:ilvl w:val="0"/>
          <w:numId w:val="61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Horyzont czasowy analizy ogranicza się do roku zakończenia realizacji projektu oraz okresu trwałości (3 lata dla MŚP / 5 lat dla pozostałych podmiotów).</w:t>
      </w:r>
    </w:p>
    <w:p w14:paraId="32DA9152" w14:textId="77777777" w:rsidR="00E5786F" w:rsidRDefault="00E5786F" w:rsidP="00E5786F">
      <w:pPr>
        <w:pStyle w:val="Akapitzlist"/>
        <w:numPr>
          <w:ilvl w:val="0"/>
          <w:numId w:val="61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Kluczowym wymogiem jest wykazanie zdolności do sfinansowania kosztów operacyjnych i utrzymania trwałości projektu (potwierdzenie nieujemnego salda gotówki w każdym roku prognozy).</w:t>
      </w:r>
    </w:p>
    <w:p w14:paraId="0605C0AC" w14:textId="77777777" w:rsidR="00E5786F" w:rsidRPr="00783ED2" w:rsidRDefault="00E5786F" w:rsidP="00E5786F">
      <w:pPr>
        <w:spacing w:beforeLines="60" w:before="144" w:afterLines="60" w:after="144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233773">
        <w:rPr>
          <w:rFonts w:ascii="Arial" w:eastAsia="Times New Roman" w:hAnsi="Arial" w:cs="Arial"/>
          <w:iCs/>
          <w:sz w:val="24"/>
          <w:szCs w:val="24"/>
          <w:lang w:eastAsia="en-US"/>
        </w:rPr>
        <w:t>W przypadku projektów objętych pomocą publiczną, poziom dofinansowania ustalany jest zgodnie z właściwymi rozporządzeniami regulującymi dany rodzaj pomocy, a uproszczony model finansowy służy wyłącznie weryfikacji wykonalności i trwałości finansowej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A20B8" w:rsidRPr="0036456E" w14:paraId="753D5FC3" w14:textId="77777777" w:rsidTr="005742E0">
        <w:tc>
          <w:tcPr>
            <w:tcW w:w="9068" w:type="dxa"/>
          </w:tcPr>
          <w:p w14:paraId="01579DD4" w14:textId="77777777" w:rsidR="007A20B8" w:rsidRPr="00F96176" w:rsidRDefault="007A20B8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94E8B29" w14:textId="77777777" w:rsidR="007A20B8" w:rsidRPr="00F96176" w:rsidRDefault="007A20B8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8E2DD" w14:textId="77777777" w:rsidR="007A20B8" w:rsidRPr="00F96176" w:rsidRDefault="007A20B8" w:rsidP="00F96176">
      <w:pPr>
        <w:pStyle w:val="Akapitzlist"/>
        <w:ind w:left="0"/>
        <w:contextualSpacing w:val="0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6DE570B7" w14:textId="2A4D7DCD" w:rsidR="002117DB" w:rsidRPr="00F96176" w:rsidRDefault="002117DB" w:rsidP="00736F05">
      <w:pPr>
        <w:pStyle w:val="Akapitzlist"/>
        <w:numPr>
          <w:ilvl w:val="1"/>
          <w:numId w:val="15"/>
        </w:numPr>
        <w:spacing w:before="120" w:after="0"/>
        <w:ind w:left="431" w:hanging="431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0" w:name="_Toc138840679"/>
      <w:bookmarkStart w:id="21" w:name="_Toc180402099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Analiza kosztów i korzyści – Analiza ekonomiczna / Analiza efektywności kosztowej</w:t>
      </w:r>
      <w:bookmarkEnd w:id="20"/>
      <w:bookmarkEnd w:id="21"/>
    </w:p>
    <w:p w14:paraId="3AB9C164" w14:textId="77777777" w:rsidR="00E5786F" w:rsidRPr="00A7035F" w:rsidRDefault="00E5786F" w:rsidP="00DF13CE">
      <w:pPr>
        <w:spacing w:before="120" w:after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Zakres analizy uzależniony jest od wartości całkowitej projektu:</w:t>
      </w:r>
    </w:p>
    <w:p w14:paraId="033CF5DE" w14:textId="77777777" w:rsidR="00E5786F" w:rsidRPr="00A7035F" w:rsidRDefault="00E5786F" w:rsidP="00E5786F">
      <w:pPr>
        <w:pStyle w:val="Akapitzlist"/>
        <w:numPr>
          <w:ilvl w:val="0"/>
          <w:numId w:val="62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Dla projektów o wartości całkowitej powyżej 5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mln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PLN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ełna): </w:t>
      </w:r>
    </w:p>
    <w:p w14:paraId="54B105A3" w14:textId="77777777" w:rsidR="00E5786F" w:rsidRDefault="00E5786F" w:rsidP="00E5786F">
      <w:pPr>
        <w:pStyle w:val="Akapitzlist"/>
        <w:numPr>
          <w:ilvl w:val="0"/>
          <w:numId w:val="63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n</w:t>
      </w: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ależy przedstawić analizę ekonomiczną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kosztów i korzyści (AKK/CBA)</w:t>
      </w: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zgodnie z metodyką opisaną w Podrozdziale 7.1 Wytycznych (w cenach stałych),</w:t>
      </w:r>
    </w:p>
    <w:p w14:paraId="26321CB4" w14:textId="77777777" w:rsidR="00E5786F" w:rsidRDefault="00E5786F" w:rsidP="00E5786F">
      <w:pPr>
        <w:pStyle w:val="Akapitzlist"/>
        <w:numPr>
          <w:ilvl w:val="0"/>
          <w:numId w:val="63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n</w:t>
      </w:r>
      <w:r w:rsidRPr="00BA5520">
        <w:rPr>
          <w:rFonts w:ascii="Arial" w:eastAsia="Times New Roman" w:hAnsi="Arial" w:cs="Arial"/>
          <w:iCs/>
          <w:sz w:val="24"/>
          <w:szCs w:val="24"/>
          <w:lang w:eastAsia="en-US"/>
        </w:rPr>
        <w:t>ależy wykonać analizę efektywności kosztowej (CEA) jako element uzupełniający (Podrozdział 7.2 Wytycznych)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, </w:t>
      </w:r>
    </w:p>
    <w:p w14:paraId="6B83F1BD" w14:textId="77777777" w:rsidR="00E5786F" w:rsidRDefault="00E5786F" w:rsidP="00E5786F">
      <w:pPr>
        <w:pStyle w:val="Akapitzlist"/>
        <w:numPr>
          <w:ilvl w:val="0"/>
          <w:numId w:val="63"/>
        </w:numPr>
        <w:spacing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w</w:t>
      </w:r>
      <w:r w:rsidRPr="00B039F5">
        <w:rPr>
          <w:rFonts w:ascii="Arial" w:eastAsia="Times New Roman" w:hAnsi="Arial" w:cs="Arial"/>
          <w:iCs/>
          <w:sz w:val="24"/>
          <w:szCs w:val="24"/>
          <w:lang w:eastAsia="en-US"/>
        </w:rPr>
        <w:t>artość rezydualna w analizie ekonomicznej określana jest w oparciu o bieżącą wartość netto przepływów ekonomicznych, wygenerowanych przez projekt w pozostałych latach jego życia ekonomicznego, następujących po zakończeniu okresu odniesienia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.</w:t>
      </w:r>
    </w:p>
    <w:p w14:paraId="3FDDE362" w14:textId="77777777" w:rsidR="00E5786F" w:rsidRPr="00B039F5" w:rsidRDefault="00E5786F" w:rsidP="00DF13CE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B039F5">
        <w:rPr>
          <w:rFonts w:ascii="Arial" w:eastAsia="Times New Roman" w:hAnsi="Arial" w:cs="Arial"/>
          <w:iCs/>
          <w:sz w:val="24"/>
          <w:szCs w:val="24"/>
          <w:lang w:eastAsia="en-US"/>
        </w:rPr>
        <w:t>Szczegółowe wskazania co do metodyki analizy znajdują się w Wytycznych, Rozdział 7.</w:t>
      </w:r>
    </w:p>
    <w:p w14:paraId="3E690D07" w14:textId="77777777" w:rsidR="00E5786F" w:rsidRPr="00A7035F" w:rsidRDefault="00E5786F" w:rsidP="00DF13CE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O</w:t>
      </w:r>
      <w:r w:rsidRPr="00B039F5">
        <w:rPr>
          <w:rFonts w:ascii="Arial" w:eastAsia="Times New Roman" w:hAnsi="Arial" w:cs="Arial"/>
          <w:iCs/>
          <w:sz w:val="24"/>
          <w:szCs w:val="24"/>
          <w:lang w:eastAsia="en-US"/>
        </w:rPr>
        <w:t>bliczenia należy zawrzeć w modelu finansowym, w USW należy wykazać jedynie założenia i wyniki analizy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.</w:t>
      </w:r>
    </w:p>
    <w:p w14:paraId="5F25AAFF" w14:textId="77777777" w:rsidR="00E5786F" w:rsidRPr="00A7035F" w:rsidRDefault="00E5786F" w:rsidP="00E5786F">
      <w:pPr>
        <w:pStyle w:val="Akapitzlist"/>
        <w:numPr>
          <w:ilvl w:val="0"/>
          <w:numId w:val="62"/>
        </w:numPr>
        <w:spacing w:before="240" w:after="0"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Dla projektów o wartości całkowitej do 5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mln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PLN włącznie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U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proszczona):</w:t>
      </w:r>
    </w:p>
    <w:p w14:paraId="431DD03A" w14:textId="77777777" w:rsidR="00E5786F" w:rsidRDefault="00E5786F" w:rsidP="00E5786F">
      <w:pPr>
        <w:pStyle w:val="Akapitzlist"/>
        <w:numPr>
          <w:ilvl w:val="0"/>
          <w:numId w:val="64"/>
        </w:numPr>
        <w:ind w:left="709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o</w:t>
      </w:r>
      <w:r w:rsidRPr="00BA5520">
        <w:rPr>
          <w:rFonts w:ascii="Arial" w:eastAsia="Times New Roman" w:hAnsi="Arial" w:cs="Arial"/>
          <w:iCs/>
          <w:sz w:val="24"/>
          <w:szCs w:val="24"/>
          <w:lang w:eastAsia="en-US"/>
        </w:rPr>
        <w:t>dstępuje się od obowiązku sporządzania pełnej analizy ekonomicznej (CBA) i kwantyfikacji korzyści społeczno-ekonomicznych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  <w:r w:rsidRPr="00BA5520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</w:p>
    <w:p w14:paraId="69CA27DF" w14:textId="77777777" w:rsidR="00E5786F" w:rsidRDefault="00E5786F" w:rsidP="00E5786F">
      <w:pPr>
        <w:pStyle w:val="Akapitzlist"/>
        <w:numPr>
          <w:ilvl w:val="0"/>
          <w:numId w:val="64"/>
        </w:numPr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>w</w:t>
      </w: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ymagane jest przedstawienie wyłącznie analizy efektywności kosztowej (np. porównanie wariantów, ofert lub analiza kosztów jednostkowych), która potwierdzi, że wybrane rozwiązanie jest optymalne pod względem nakładów.</w:t>
      </w:r>
    </w:p>
    <w:p w14:paraId="66323E60" w14:textId="77777777" w:rsidR="00E5786F" w:rsidRPr="00A7035F" w:rsidRDefault="00E5786F" w:rsidP="00E5786F">
      <w:pPr>
        <w:pStyle w:val="Akapitzlist"/>
        <w:spacing w:after="0" w:line="240" w:lineRule="auto"/>
        <w:ind w:left="709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F17AD2" w:rsidRPr="0036456E" w14:paraId="124D4DFD" w14:textId="77777777" w:rsidTr="005742E0">
        <w:tc>
          <w:tcPr>
            <w:tcW w:w="9068" w:type="dxa"/>
          </w:tcPr>
          <w:p w14:paraId="752904F3" w14:textId="77777777" w:rsidR="00F17AD2" w:rsidRPr="00F96176" w:rsidRDefault="00F17AD2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1AFDA0F" w14:textId="77777777" w:rsidR="00F17AD2" w:rsidRPr="00F96176" w:rsidRDefault="00F17AD2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783A8" w14:textId="77777777" w:rsidR="00F17AD2" w:rsidRPr="00F96176" w:rsidRDefault="00F17AD2" w:rsidP="00736F05">
      <w:pPr>
        <w:pStyle w:val="Akapitzlist"/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30932000" w14:textId="77777777" w:rsidR="00112217" w:rsidRPr="00F96176" w:rsidRDefault="00112217" w:rsidP="00736F05">
      <w:pPr>
        <w:pStyle w:val="Akapitzlist"/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54696202" w14:textId="13CAA3D5" w:rsidR="002117DB" w:rsidRPr="00F96176" w:rsidRDefault="002117DB" w:rsidP="00736F05">
      <w:pPr>
        <w:pStyle w:val="Akapitzlist"/>
        <w:numPr>
          <w:ilvl w:val="1"/>
          <w:numId w:val="15"/>
        </w:numPr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2" w:name="_Toc138840680"/>
      <w:bookmarkStart w:id="23" w:name="_Toc180402100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Model finansowy</w:t>
      </w:r>
      <w:bookmarkEnd w:id="22"/>
      <w:bookmarkEnd w:id="23"/>
    </w:p>
    <w:p w14:paraId="5FE80CBE" w14:textId="77777777" w:rsidR="00E5786F" w:rsidRPr="00321AF1" w:rsidRDefault="00E5786F" w:rsidP="00E5786F">
      <w:pPr>
        <w:pStyle w:val="Akapitzlist"/>
        <w:spacing w:before="24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Model finansowy jest integralnym i obligatoryjnym elementem Studium Wykonalności, służącym do weryfikacji trwałości oraz efektywności operacji. Model należy przygotować w formacie arkusza kalkulacyjnego (MS Excel) z odblokowanymi formułami. Zakres modelu zależy od wartości projektu:</w:t>
      </w:r>
    </w:p>
    <w:p w14:paraId="643DBE5F" w14:textId="77777777" w:rsidR="00E5786F" w:rsidRPr="00321AF1" w:rsidRDefault="00E5786F" w:rsidP="00E5786F">
      <w:pPr>
        <w:pStyle w:val="Akapitzlist"/>
        <w:spacing w:before="24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2FBD2B30" w14:textId="77777777" w:rsidR="00E5786F" w:rsidRPr="00A7035F" w:rsidRDefault="00E5786F" w:rsidP="00E5786F">
      <w:pPr>
        <w:pStyle w:val="Akapitzlist"/>
        <w:numPr>
          <w:ilvl w:val="0"/>
          <w:numId w:val="65"/>
        </w:numPr>
        <w:spacing w:before="240"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Dla projektów o wartości całkowitej powyżej 5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mln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PLN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ełna):</w:t>
      </w:r>
    </w:p>
    <w:p w14:paraId="072EA0C4" w14:textId="77777777" w:rsidR="00E5786F" w:rsidRPr="00321AF1" w:rsidRDefault="00E5786F" w:rsidP="00E5786F">
      <w:pPr>
        <w:pStyle w:val="Akapitzlist"/>
        <w:spacing w:before="240" w:line="240" w:lineRule="auto"/>
        <w:ind w:left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Model musi zostać sporządzony w układzie „Wnioskodawca z Projektem” oraz „Projekt” i zawierać co najmniej następujące sekcje:</w:t>
      </w:r>
    </w:p>
    <w:p w14:paraId="22DA27E4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rkusz założeń: dane podmiotu, model sprzedaży (popyt), zatrudnienie i płace, pozostałe przychody i koszty operacyjne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26392182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rkusz nakładów i finansowania: plan inwestycyjny, harmonogram wydatków, źródła finansowania (wkład własny, kredyt, dotacja), amortyzacja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78C73D3B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rkusz sprawozdań finansowych: prognozowany Rachunek Zysków i Strat, Bilans oraz Rachunek Przepływów Pieniężnych (Cash-</w:t>
      </w:r>
      <w:proofErr w:type="spellStart"/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flow</w:t>
      </w:r>
      <w:proofErr w:type="spellEnd"/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)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0E850BCE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C97E8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rkusz kalkulacji wskaźników: wyliczenie wskaźników finansowej efektywności (FNPV/C, FRR/C oraz FNPV/K, FRR/K). 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Wymóg wyliczania wskaźników NPV/IRR nie dotyczy projektów objętych pomocą publiczną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21228B9F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d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ane historyczne: dane za okres trzech pełnych lat poprzedzających rok złożenia wniosku, zgodne ze sprawozdaniami finansowymi podmiotu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45530590" w14:textId="77777777" w:rsidR="00E5786F" w:rsidRPr="00321AF1" w:rsidRDefault="00E5786F" w:rsidP="00E5786F">
      <w:pPr>
        <w:pStyle w:val="Akapitzlist"/>
        <w:numPr>
          <w:ilvl w:val="0"/>
          <w:numId w:val="66"/>
        </w:numPr>
        <w:spacing w:before="240"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o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kres prognozy: obejmujący fazę realizacji oraz pełny okres odniesienia (zgodnie z pkt 14.1).</w:t>
      </w:r>
    </w:p>
    <w:p w14:paraId="1D094500" w14:textId="77777777" w:rsidR="00E5786F" w:rsidRPr="00A7035F" w:rsidRDefault="00E5786F" w:rsidP="00E5786F">
      <w:pPr>
        <w:pStyle w:val="Akapitzlist"/>
        <w:numPr>
          <w:ilvl w:val="0"/>
          <w:numId w:val="65"/>
        </w:numPr>
        <w:spacing w:before="24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Dla projektów o wartości całkowitej do 5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mln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PLN włącznie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u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proszczona):</w:t>
      </w:r>
    </w:p>
    <w:p w14:paraId="07A8C2C2" w14:textId="77777777" w:rsidR="00E5786F" w:rsidRPr="00321AF1" w:rsidRDefault="00E5786F" w:rsidP="00E5786F">
      <w:pPr>
        <w:pStyle w:val="Akapitzlist"/>
        <w:spacing w:before="24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EB616D">
        <w:rPr>
          <w:rFonts w:ascii="Arial" w:eastAsia="Times New Roman" w:hAnsi="Arial" w:cs="Arial"/>
          <w:iCs/>
          <w:sz w:val="24"/>
          <w:szCs w:val="24"/>
          <w:lang w:eastAsia="en-US"/>
        </w:rPr>
        <w:t>Wnioskodawca składa Uproszczony Arkusz Kalkulacyjny (Załącznik nr [X]), którego zakres ograniczony jest do kluczowych danych niezbędnych do potwierdzenia trwałości finansowej:</w:t>
      </w:r>
    </w:p>
    <w:p w14:paraId="704430F7" w14:textId="77777777" w:rsidR="00E5786F" w:rsidRPr="00321AF1" w:rsidRDefault="00E5786F" w:rsidP="00E5786F">
      <w:pPr>
        <w:pStyle w:val="Akapitzlist"/>
        <w:numPr>
          <w:ilvl w:val="0"/>
          <w:numId w:val="67"/>
        </w:numPr>
        <w:spacing w:before="240" w:line="240" w:lineRule="auto"/>
        <w:ind w:left="1134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z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estawienie źródeł finansowania: jednoznaczne wskazanie pokrycia wydatków całkowitych projektu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03175F2F" w14:textId="77777777" w:rsidR="00E5786F" w:rsidRPr="00321AF1" w:rsidRDefault="00E5786F" w:rsidP="00E5786F">
      <w:pPr>
        <w:pStyle w:val="Akapitzlist"/>
        <w:numPr>
          <w:ilvl w:val="0"/>
          <w:numId w:val="67"/>
        </w:numPr>
        <w:spacing w:before="240" w:line="240" w:lineRule="auto"/>
        <w:ind w:left="1134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u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proszczona prognoza operacyjna: zestawienie planowanych przychodów i kosztów operacyjnych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w roku zakończenia realizacji i 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w okresie trwałości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32AB2D78" w14:textId="77777777" w:rsidR="00E5786F" w:rsidRPr="00321AF1" w:rsidRDefault="00E5786F" w:rsidP="00E5786F">
      <w:pPr>
        <w:pStyle w:val="Akapitzlist"/>
        <w:numPr>
          <w:ilvl w:val="0"/>
          <w:numId w:val="67"/>
        </w:numPr>
        <w:spacing w:before="240" w:line="240" w:lineRule="auto"/>
        <w:ind w:left="1134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naliza płynności (Cash-</w:t>
      </w:r>
      <w:proofErr w:type="spellStart"/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flow</w:t>
      </w:r>
      <w:proofErr w:type="spellEnd"/>
      <w:r w:rsidRPr="00321AF1">
        <w:rPr>
          <w:rFonts w:ascii="Arial" w:eastAsia="Times New Roman" w:hAnsi="Arial" w:cs="Arial"/>
          <w:iCs/>
          <w:sz w:val="24"/>
          <w:szCs w:val="24"/>
          <w:lang w:eastAsia="en-US"/>
        </w:rPr>
        <w:t>): prognoza rocznego salda środków pieniężnych wykazująca brak deficytu gotówkowego w całym okresie trwałości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6BFC328E" w14:textId="77777777" w:rsidR="00E5786F" w:rsidRPr="00A7035F" w:rsidRDefault="00E5786F" w:rsidP="00E5786F">
      <w:pPr>
        <w:spacing w:before="24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W ścieżce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nie wymaga się</w:t>
      </w: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wyliczania wskaźników NPV/IRR oraz sporządzania pełnych, wielopozycyjnych sprawozdań finansowych (Bilans, </w:t>
      </w:r>
      <w:proofErr w:type="spellStart"/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RZiS</w:t>
      </w:r>
      <w:proofErr w:type="spellEnd"/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).</w:t>
      </w:r>
    </w:p>
    <w:p w14:paraId="496B6DCC" w14:textId="116BB1F8" w:rsidR="002117DB" w:rsidRPr="00E5786F" w:rsidRDefault="00E5786F" w:rsidP="00E5786F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E5786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W przypadku ujęcia podatku VAT jako niekwalifikowalnego, należy go uwzględnić w Modelu finansowym oraz w budżecie projektu niezależnie od wybranej ścieżki.</w:t>
      </w:r>
      <w:r w:rsidRPr="00E5786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br/>
      </w:r>
    </w:p>
    <w:p w14:paraId="34D8825F" w14:textId="0787846B" w:rsidR="002117DB" w:rsidRPr="00F96176" w:rsidRDefault="002117DB" w:rsidP="00F96176">
      <w:pPr>
        <w:pStyle w:val="Akapitzlist"/>
        <w:numPr>
          <w:ilvl w:val="1"/>
          <w:numId w:val="15"/>
        </w:numPr>
        <w:ind w:left="709" w:hanging="709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4" w:name="_Toc138840681"/>
      <w:bookmarkStart w:id="25" w:name="_Toc180402101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lastRenderedPageBreak/>
        <w:t>Analiza ryzyka i wrażliwości</w:t>
      </w:r>
      <w:bookmarkEnd w:id="24"/>
      <w:bookmarkEnd w:id="25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</w:t>
      </w:r>
    </w:p>
    <w:p w14:paraId="7205FAAC" w14:textId="77777777" w:rsidR="00E5786F" w:rsidRDefault="00E5786F" w:rsidP="00DF13CE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Celem tej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analizy</w:t>
      </w: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jest ocena czy projekt pozostanie bezpieczny i wykonalny, jeśli zmienią się warunki zewnętrzne (np. wzrosną ceny energii lub spadnie liczba klientów). </w:t>
      </w:r>
    </w:p>
    <w:p w14:paraId="6A6E862D" w14:textId="77777777" w:rsidR="00E5786F" w:rsidRPr="00A7035F" w:rsidRDefault="00E5786F" w:rsidP="00DF13CE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Zakres wymaganej analizy zależy od wartości projektu:</w:t>
      </w:r>
    </w:p>
    <w:p w14:paraId="2D1E698E" w14:textId="77777777" w:rsidR="00E5786F" w:rsidRPr="00A7035F" w:rsidRDefault="00E5786F" w:rsidP="00E5786F">
      <w:pPr>
        <w:pStyle w:val="Akapitzlist"/>
        <w:numPr>
          <w:ilvl w:val="0"/>
          <w:numId w:val="68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Dla projektów o wartości całkowitej powyżej 5 mln PLN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ełna):</w:t>
      </w:r>
    </w:p>
    <w:p w14:paraId="02C43412" w14:textId="77777777" w:rsidR="00E5786F" w:rsidRPr="00A7035F" w:rsidRDefault="00E5786F" w:rsidP="00DF13CE">
      <w:pPr>
        <w:spacing w:after="0" w:line="240" w:lineRule="auto"/>
        <w:ind w:left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iCs/>
          <w:sz w:val="24"/>
          <w:szCs w:val="24"/>
          <w:lang w:eastAsia="en-US"/>
        </w:rPr>
        <w:t>Wymagane jest przeprowadzenie dwuetapowej analizy zgodnie z Rozdziałem 8 Wytycznych:</w:t>
      </w:r>
    </w:p>
    <w:p w14:paraId="3C0E54F4" w14:textId="77777777" w:rsidR="00E5786F" w:rsidRPr="002A122E" w:rsidRDefault="00E5786F" w:rsidP="00E5786F">
      <w:pPr>
        <w:pStyle w:val="Akapitzlist"/>
        <w:numPr>
          <w:ilvl w:val="0"/>
          <w:numId w:val="69"/>
        </w:numPr>
        <w:spacing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naliza wrażliwości (ilościowa): Wnioskodawca musi matematycznie wykazać w modelu finansowym, jak zmiana kluczowych parametrów (np. wzrost kosztów operacyjnych o 10% lub spadek przychodów o 10%) wpłynie na wskaźniki efektywności (FNPV, FRR) oraz na trwałość finansową projektu. Należy zidentyfikować tzw. zmienne krytyczne, czyli te czynniki, których zmiana o 1% powoduje zmianę wskaźnika FNPV o co najmniej 1%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0CDDFA40" w14:textId="77777777" w:rsidR="00E5786F" w:rsidRPr="002A122E" w:rsidRDefault="00E5786F" w:rsidP="00E5786F">
      <w:pPr>
        <w:pStyle w:val="Akapitzlist"/>
        <w:numPr>
          <w:ilvl w:val="0"/>
          <w:numId w:val="69"/>
        </w:numPr>
        <w:spacing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a</w:t>
      </w: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naliza ryzyka (jakościowa): Należy opisać główne zagrożenia (np. technologiczne, rynkowe, legislacyjne), ocenić prawdopodobieństwo ich wystąpienia (np. niskie, średnie, wysokie) oraz wskazać konkretne działania zaradcze (</w:t>
      </w:r>
      <w:proofErr w:type="spellStart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mitygację</w:t>
      </w:r>
      <w:proofErr w:type="spellEnd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), które zostaną podjęte, aby zapobiec negatywnym skutkom tych </w:t>
      </w:r>
      <w:proofErr w:type="spellStart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ryzyk</w:t>
      </w:r>
      <w:proofErr w:type="spellEnd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.</w:t>
      </w:r>
    </w:p>
    <w:p w14:paraId="3AD6190E" w14:textId="77777777" w:rsidR="00E5786F" w:rsidRPr="002A122E" w:rsidRDefault="00E5786F" w:rsidP="00DF13CE">
      <w:pPr>
        <w:pStyle w:val="Akapitzlist"/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428C0394" w14:textId="77777777" w:rsidR="00E5786F" w:rsidRPr="00A7035F" w:rsidRDefault="00E5786F" w:rsidP="00E5786F">
      <w:pPr>
        <w:pStyle w:val="Akapitzlist"/>
        <w:numPr>
          <w:ilvl w:val="0"/>
          <w:numId w:val="68"/>
        </w:numPr>
        <w:spacing w:line="240" w:lineRule="auto"/>
        <w:ind w:left="426" w:hanging="426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Dla projektów o wartości całkowitej do 5 mln PLN włącznie (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ś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cieżka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u</w:t>
      </w:r>
      <w:r w:rsidRPr="00A7035F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proszczona):</w:t>
      </w:r>
    </w:p>
    <w:p w14:paraId="10722846" w14:textId="77777777" w:rsidR="00E5786F" w:rsidRPr="002A122E" w:rsidRDefault="00E5786F" w:rsidP="00DF13CE">
      <w:pPr>
        <w:pStyle w:val="Akapitzlist"/>
        <w:spacing w:before="240" w:line="240" w:lineRule="auto"/>
        <w:ind w:left="426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W tej ścieżce odstępuje się od wymogów matematycznego wyliczania wpływu zmian (analizy wrażliwości) na wskaźniki. Wnioskodawca jest zobowiązany wyłącznie do przedstawienia opisowej (jakościowej) analizy ryzyka, która powinna zawierać:</w:t>
      </w:r>
    </w:p>
    <w:p w14:paraId="067FC14D" w14:textId="77777777" w:rsidR="00E5786F" w:rsidRPr="002A122E" w:rsidRDefault="00E5786F" w:rsidP="00E5786F">
      <w:pPr>
        <w:pStyle w:val="Akapitzlist"/>
        <w:numPr>
          <w:ilvl w:val="0"/>
          <w:numId w:val="70"/>
        </w:numPr>
        <w:spacing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i</w:t>
      </w: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dentyfikację </w:t>
      </w:r>
      <w:proofErr w:type="spellStart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ryzyk</w:t>
      </w:r>
      <w:proofErr w:type="spellEnd"/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: Wskazanie co najmniej trzech kluczowych zagrożeń, które mogą pojawić się w trakcie realizacji projektu lub w okresie jego trwałości (np. wzrost cen mediów, trudności w znalezieniu wykwalifikowanej kadry, awarie urządzeń)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6E275F77" w14:textId="77777777" w:rsidR="00E5786F" w:rsidRPr="002A122E" w:rsidRDefault="00E5786F" w:rsidP="00E5786F">
      <w:pPr>
        <w:pStyle w:val="Akapitzlist"/>
        <w:numPr>
          <w:ilvl w:val="0"/>
          <w:numId w:val="70"/>
        </w:numPr>
        <w:spacing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s</w:t>
      </w: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posób zarządzania ryzykiem: Opis, w jaki sposób Wnioskodawca poradzi sobie z tymi problemami, aby utrzymać funkcjonowanie projektu (np. posiadanie rezerw finansowych, polisy ubezpieczeniowe, umowy serwisowe, dywersyfikacja źródeł przychodów)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,</w:t>
      </w:r>
    </w:p>
    <w:p w14:paraId="778656C8" w14:textId="77777777" w:rsidR="00E5786F" w:rsidRDefault="00E5786F" w:rsidP="00E5786F">
      <w:pPr>
        <w:pStyle w:val="Akapitzlist"/>
        <w:numPr>
          <w:ilvl w:val="0"/>
          <w:numId w:val="70"/>
        </w:numPr>
        <w:spacing w:line="240" w:lineRule="auto"/>
        <w:ind w:left="851" w:hanging="284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Cs/>
          <w:sz w:val="24"/>
          <w:szCs w:val="24"/>
          <w:lang w:eastAsia="en-US"/>
        </w:rPr>
        <w:t>p</w:t>
      </w:r>
      <w:r w:rsidRPr="002A122E">
        <w:rPr>
          <w:rFonts w:ascii="Arial" w:eastAsia="Times New Roman" w:hAnsi="Arial" w:cs="Arial"/>
          <w:iCs/>
          <w:sz w:val="24"/>
          <w:szCs w:val="24"/>
          <w:lang w:eastAsia="en-US"/>
        </w:rPr>
        <w:t>otwierdzenie trwałości: Wykazanie, że nawet w przypadku wystąpienia typowych trudności operacyjnych, Wnioskodawca będzie w stanie zachować płynność finansową i utrzymać efekty projektu przez wymagany okres (3 lub 5 lat).</w:t>
      </w:r>
    </w:p>
    <w:p w14:paraId="64B4059F" w14:textId="77777777" w:rsidR="00E5786F" w:rsidRPr="002A122E" w:rsidRDefault="00E5786F" w:rsidP="00E5786F">
      <w:pPr>
        <w:pStyle w:val="Akapitzlist"/>
        <w:spacing w:line="240" w:lineRule="auto"/>
        <w:ind w:left="851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5291D679" w14:textId="77777777" w:rsidTr="00143320">
        <w:tc>
          <w:tcPr>
            <w:tcW w:w="9068" w:type="dxa"/>
          </w:tcPr>
          <w:p w14:paraId="74865CE5" w14:textId="77777777" w:rsidR="003A5DB6" w:rsidRPr="00F96176" w:rsidRDefault="003A5DB6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1A6AEEE" w14:textId="77777777" w:rsidR="003A5DB6" w:rsidRPr="00F96176" w:rsidRDefault="003A5DB6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359CB" w14:textId="77777777" w:rsidR="0099101D" w:rsidRPr="00F96176" w:rsidRDefault="0099101D" w:rsidP="00736F05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85D7BA1" w14:textId="6F32E04A" w:rsidR="008D70FB" w:rsidRPr="00F96176" w:rsidRDefault="008D70FB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Trwałość projektu</w:t>
      </w:r>
    </w:p>
    <w:p w14:paraId="43E214E9" w14:textId="4B4F6595" w:rsidR="008D70FB" w:rsidRPr="00F96176" w:rsidRDefault="00666304" w:rsidP="00736F05">
      <w:pPr>
        <w:spacing w:beforeLines="60" w:before="144" w:afterLines="60" w:after="144" w:line="240" w:lineRule="auto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A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nalizę ryzyka </w:t>
      </w:r>
      <w:r w:rsidRPr="00F96176">
        <w:rPr>
          <w:rFonts w:ascii="Arial" w:hAnsi="Arial" w:cs="Arial"/>
          <w:b/>
          <w:bCs/>
          <w:sz w:val="24"/>
          <w:szCs w:val="24"/>
        </w:rPr>
        <w:t>w projekcie</w:t>
      </w:r>
      <w:r w:rsidR="009D0FB6" w:rsidRPr="00F9617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96176">
        <w:rPr>
          <w:rFonts w:ascii="Arial" w:eastAsiaTheme="majorEastAsia" w:hAnsi="Arial" w:cs="Arial"/>
          <w:b/>
          <w:bCs/>
          <w:sz w:val="24"/>
          <w:szCs w:val="24"/>
        </w:rPr>
        <w:t>w okresie trwałości</w:t>
      </w:r>
      <w:r w:rsidR="009D0FB6" w:rsidRPr="00F96176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należy zawrzeć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 xml:space="preserve">we wniosku o dofinansowanie 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w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 xml:space="preserve">sekcji </w:t>
      </w:r>
      <w:r w:rsidR="008C10EB" w:rsidRPr="00F96176">
        <w:rPr>
          <w:rFonts w:ascii="Arial" w:hAnsi="Arial" w:cs="Arial"/>
          <w:b/>
          <w:bCs/>
          <w:sz w:val="24"/>
          <w:szCs w:val="24"/>
        </w:rPr>
        <w:t xml:space="preserve">H2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>Analiza ryzyka w projekcie</w:t>
      </w:r>
      <w:r w:rsidR="004934B2" w:rsidRPr="00F96176">
        <w:rPr>
          <w:rFonts w:ascii="Arial" w:hAnsi="Arial" w:cs="Arial"/>
          <w:b/>
          <w:bCs/>
          <w:sz w:val="24"/>
          <w:szCs w:val="24"/>
        </w:rPr>
        <w:t>.</w:t>
      </w:r>
      <w:r w:rsidR="00AB7116" w:rsidRPr="00F961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2A3CA7" w14:textId="66856B0B" w:rsidR="008C10EB" w:rsidRPr="00F96176" w:rsidRDefault="008C10EB" w:rsidP="00736F05">
      <w:pPr>
        <w:spacing w:beforeLines="60" w:before="144" w:afterLines="60" w:after="144" w:line="240" w:lineRule="auto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Utrzymanie celów projektu po zakończeniu jego realizacji – w okresie trwałości.</w:t>
      </w:r>
    </w:p>
    <w:p w14:paraId="5573D208" w14:textId="1D834F22" w:rsidR="008C10EB" w:rsidRPr="00F96176" w:rsidRDefault="008C10EB" w:rsidP="00E12F82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 xml:space="preserve">Należy opisać możliwość zapewnienia przez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F96176" w:rsidRDefault="008C10EB" w:rsidP="00E12F82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bookmarkStart w:id="26" w:name="_Hlk165353767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Należy uzasadnić zdolność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a planuje wykorzystywać produkty projektu zgodnie z przeznaczeniem, a projekt w pełni spełnia założone w nim cele.</w:t>
      </w:r>
      <w:bookmarkEnd w:id="2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0E6DAF98" w14:textId="77777777" w:rsidTr="00DB5A71">
        <w:tc>
          <w:tcPr>
            <w:tcW w:w="9068" w:type="dxa"/>
          </w:tcPr>
          <w:p w14:paraId="33F79948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61AD517" w14:textId="45BAC14E" w:rsidR="00253B99" w:rsidRPr="00F96176" w:rsidRDefault="00253B99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2C7BC" w14:textId="77777777" w:rsidR="0097710D" w:rsidRPr="00F96176" w:rsidRDefault="0097710D" w:rsidP="00736F05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5D7E3E74" w14:textId="3D62507D" w:rsidR="0097710D" w:rsidRPr="00F96176" w:rsidRDefault="0097710D" w:rsidP="004A4ECD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ind w:left="426" w:hanging="426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z kartą praw podstawowych i Konwencją o prawach osób niepełnosprawnych</w:t>
      </w:r>
    </w:p>
    <w:p w14:paraId="6FE0E4CC" w14:textId="77777777" w:rsidR="004A4ECD" w:rsidRPr="00F96176" w:rsidRDefault="004A4ECD" w:rsidP="0036456E">
      <w:pPr>
        <w:pStyle w:val="Akapitzlist"/>
        <w:spacing w:beforeLines="60" w:before="144" w:afterLines="60" w:after="144" w:line="240" w:lineRule="auto"/>
        <w:ind w:left="426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B144102" w14:textId="64F19E33" w:rsidR="0097710D" w:rsidRPr="00F96176" w:rsidRDefault="0097710D" w:rsidP="00F96176">
      <w:pPr>
        <w:pStyle w:val="Akapitzlist"/>
        <w:numPr>
          <w:ilvl w:val="1"/>
          <w:numId w:val="15"/>
        </w:numPr>
        <w:spacing w:beforeLines="60" w:before="144" w:afterLines="60" w:after="144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Należy uzasadnić zgodność projektu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 xml:space="preserve">Kartą praw podstawowych Unii Europejskiej 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z dnia 7 czerwca 2016 r. (Dz. Urz. UE </w:t>
      </w:r>
      <w:proofErr w:type="gramStart"/>
      <w:r w:rsidRPr="00F96176">
        <w:rPr>
          <w:rFonts w:ascii="Arial" w:hAnsi="Arial" w:cs="Arial"/>
          <w:b/>
          <w:bCs/>
          <w:sz w:val="24"/>
          <w:szCs w:val="24"/>
        </w:rPr>
        <w:t>C  202.389</w:t>
      </w:r>
      <w:proofErr w:type="gramEnd"/>
      <w:r w:rsidRPr="00F96176">
        <w:rPr>
          <w:rFonts w:ascii="Arial" w:hAnsi="Arial" w:cs="Arial"/>
          <w:b/>
          <w:bCs/>
          <w:sz w:val="24"/>
          <w:szCs w:val="24"/>
        </w:rPr>
        <w:t xml:space="preserve"> z 06.06.2016), w</w:t>
      </w:r>
      <w:r w:rsidR="00DB5A71" w:rsidRPr="00F96176">
        <w:rPr>
          <w:rFonts w:ascii="Arial" w:hAnsi="Arial" w:cs="Arial"/>
          <w:b/>
          <w:bCs/>
          <w:sz w:val="24"/>
          <w:szCs w:val="24"/>
        </w:rPr>
        <w:t> 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zakresie odnoszącym się do sposobu realizacji i zakresu projektu </w:t>
      </w:r>
    </w:p>
    <w:p w14:paraId="248E6E89" w14:textId="5211F653" w:rsidR="0097710D" w:rsidRPr="00F96176" w:rsidRDefault="0097710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Zgodność projektu z </w:t>
      </w:r>
      <w:r w:rsidRPr="00F96176">
        <w:rPr>
          <w:rFonts w:ascii="Arial" w:hAnsi="Arial" w:cs="Arial"/>
          <w:i/>
          <w:iCs/>
          <w:sz w:val="24"/>
          <w:szCs w:val="24"/>
        </w:rPr>
        <w:t>Kartą praw podstawowych Unii Europejskiej</w:t>
      </w:r>
      <w:r w:rsidRPr="00F96176">
        <w:rPr>
          <w:rFonts w:ascii="Arial" w:hAnsi="Arial" w:cs="Arial"/>
          <w:sz w:val="24"/>
          <w:szCs w:val="24"/>
        </w:rPr>
        <w:t xml:space="preserve"> to brak sprzeczności pomiędzy zapisami projektu a wymogami tego dokumentu lub stwierdzenie, że te wymagania są neutralne wobec zakresu i zawartości projektu. Dla </w:t>
      </w:r>
      <w:r w:rsidR="008053DD" w:rsidRPr="00F96176">
        <w:rPr>
          <w:rFonts w:ascii="Arial" w:hAnsi="Arial" w:cs="Arial"/>
          <w:sz w:val="24"/>
          <w:szCs w:val="24"/>
        </w:rPr>
        <w:t>Wnioskodawc</w:t>
      </w:r>
      <w:r w:rsidRPr="00F96176">
        <w:rPr>
          <w:rFonts w:ascii="Arial" w:hAnsi="Arial" w:cs="Arial"/>
          <w:sz w:val="24"/>
          <w:szCs w:val="24"/>
        </w:rPr>
        <w:t xml:space="preserve">ów mogą być pomocne </w:t>
      </w:r>
      <w:r w:rsidRPr="00F96176">
        <w:rPr>
          <w:rFonts w:ascii="Arial" w:hAnsi="Arial" w:cs="Arial"/>
          <w:i/>
          <w:iCs/>
          <w:sz w:val="24"/>
          <w:szCs w:val="24"/>
        </w:rPr>
        <w:t>Wytyczne Komisji Europejskiej dotyczące zapewnienia poszanowania Karty praw podstawowych Unii Europejskiej przy wdrażaniu europejskich funduszy strukturalnych i inwestycyjnych</w:t>
      </w:r>
      <w:r w:rsidRPr="00F96176">
        <w:rPr>
          <w:rFonts w:ascii="Arial" w:hAnsi="Arial" w:cs="Arial"/>
          <w:sz w:val="24"/>
          <w:szCs w:val="24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0A60B437" w14:textId="77777777" w:rsidTr="001807B8">
        <w:tc>
          <w:tcPr>
            <w:tcW w:w="9973" w:type="dxa"/>
          </w:tcPr>
          <w:p w14:paraId="7A93D206" w14:textId="3CC03DCB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3ED1C3B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E0239D" w14:textId="1608E88F" w:rsidR="00DB5A71" w:rsidRPr="00F96176" w:rsidRDefault="0097710D" w:rsidP="00F96176">
      <w:pPr>
        <w:pStyle w:val="Akapitzlist"/>
        <w:numPr>
          <w:ilvl w:val="1"/>
          <w:numId w:val="15"/>
        </w:numPr>
        <w:spacing w:beforeLines="60" w:before="144" w:afterLines="60" w:after="144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Należy uzasadnić zgodność projektu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Konwencją o prawach osób niepełnosprawnych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, sporządzoną w Nowym Jorku dnia 13 grudnia 2006 r. (Dz. U. z 2012 r. poz. 1169, z </w:t>
      </w:r>
      <w:proofErr w:type="spellStart"/>
      <w:r w:rsidRPr="00F96176">
        <w:rPr>
          <w:rFonts w:ascii="Arial" w:hAnsi="Arial" w:cs="Arial"/>
          <w:b/>
          <w:bCs/>
          <w:sz w:val="24"/>
          <w:szCs w:val="24"/>
        </w:rPr>
        <w:t>późn</w:t>
      </w:r>
      <w:proofErr w:type="spellEnd"/>
      <w:r w:rsidRPr="00F96176">
        <w:rPr>
          <w:rFonts w:ascii="Arial" w:hAnsi="Arial" w:cs="Arial"/>
          <w:b/>
          <w:bCs/>
          <w:sz w:val="24"/>
          <w:szCs w:val="24"/>
        </w:rPr>
        <w:t xml:space="preserve">. zm.), w tym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Komentarzem ogólnym Nr 5 na temat niezależnego życia i bycia częścią społeczności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 (2017) Komitetu ONZ ds. Praw Osób Niepełnosprawnych oraz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Uwagami końcowymi dla Polski Komitetu ONZ ds. Praw Osób Niepełnosprawnych w zakresie odnoszącym się do sposobu realizacji i zakresu projektu</w:t>
      </w:r>
      <w:r w:rsidRPr="00F96176">
        <w:rPr>
          <w:rFonts w:ascii="Arial" w:hAnsi="Arial" w:cs="Arial"/>
          <w:b/>
          <w:bCs/>
          <w:sz w:val="24"/>
          <w:szCs w:val="24"/>
        </w:rPr>
        <w:t>.</w:t>
      </w:r>
    </w:p>
    <w:p w14:paraId="4B5A0D90" w14:textId="07EE4BD7" w:rsidR="0097710D" w:rsidRPr="00F96176" w:rsidRDefault="0097710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6E0FFADF" w14:textId="77777777" w:rsidTr="00DB5A71">
        <w:tc>
          <w:tcPr>
            <w:tcW w:w="9068" w:type="dxa"/>
          </w:tcPr>
          <w:p w14:paraId="38E27DC6" w14:textId="360F5808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7" w:name="_Hlk180486977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3FFF968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7"/>
    </w:tbl>
    <w:p w14:paraId="71C870E1" w14:textId="77777777" w:rsidR="008C10EB" w:rsidRPr="00F96176" w:rsidRDefault="008C10EB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381B7E2" w14:textId="44B1351E" w:rsidR="008C213F" w:rsidRPr="00F96176" w:rsidRDefault="008C213F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z zasadą równości szans i niedyskryminacji, w tym dostępności dla osób z niepełnosprawnościami</w:t>
      </w:r>
    </w:p>
    <w:p w14:paraId="1D5B1213" w14:textId="60888544" w:rsidR="0078479F" w:rsidRPr="00F96176" w:rsidRDefault="00C15483" w:rsidP="00F9617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78479F"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pływ </w:t>
      </w: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projektu </w:t>
      </w:r>
      <w:r w:rsidR="0078479F"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na zasadę równości szans i niedyskryminacji </w:t>
      </w:r>
    </w:p>
    <w:p w14:paraId="49D118A0" w14:textId="09BEE6A8" w:rsidR="0078479F" w:rsidRPr="00F96176" w:rsidRDefault="0078479F" w:rsidP="00736F05">
      <w:pPr>
        <w:pStyle w:val="Default"/>
        <w:spacing w:beforeLines="60" w:before="144" w:afterLines="60" w:after="144"/>
        <w:rPr>
          <w:rFonts w:ascii="Arial" w:hAnsi="Arial" w:cs="Arial"/>
          <w:sz w:val="24"/>
        </w:rPr>
      </w:pPr>
      <w:r w:rsidRPr="00F96176">
        <w:rPr>
          <w:rFonts w:ascii="Arial" w:hAnsi="Arial" w:cs="Arial"/>
          <w:sz w:val="24"/>
        </w:rPr>
        <w:t xml:space="preserve">Projekt musi zapewnić dostępność dla wszystkich użytkowników bez jakiejkolwiek dyskryminacji, w tym dla osób z niepełnosprawnościami, zgodnie z </w:t>
      </w:r>
      <w:r w:rsidRPr="00F96176">
        <w:rPr>
          <w:rFonts w:ascii="Arial" w:hAnsi="Arial" w:cs="Arial"/>
          <w:i/>
          <w:iCs/>
          <w:sz w:val="24"/>
        </w:rPr>
        <w:t>Rozporządzeniem 2021/1060</w:t>
      </w:r>
      <w:r w:rsidRPr="00F96176">
        <w:rPr>
          <w:rFonts w:ascii="Arial" w:hAnsi="Arial" w:cs="Arial"/>
          <w:sz w:val="24"/>
        </w:rPr>
        <w:t xml:space="preserve"> (w szczególności art.</w:t>
      </w:r>
      <w:r w:rsidR="00947CE7">
        <w:rPr>
          <w:rFonts w:ascii="Arial" w:hAnsi="Arial" w:cs="Arial"/>
          <w:sz w:val="24"/>
        </w:rPr>
        <w:t xml:space="preserve"> </w:t>
      </w:r>
      <w:r w:rsidRPr="00F96176">
        <w:rPr>
          <w:rFonts w:ascii="Arial" w:hAnsi="Arial" w:cs="Arial"/>
          <w:sz w:val="24"/>
        </w:rPr>
        <w:t xml:space="preserve">9), oraz </w:t>
      </w:r>
      <w:r w:rsidRPr="00F96176">
        <w:rPr>
          <w:rFonts w:ascii="Arial" w:hAnsi="Arial" w:cs="Arial"/>
          <w:i/>
          <w:iCs/>
          <w:sz w:val="24"/>
        </w:rPr>
        <w:t>Wytycznymi dotyczącymi realizacji zasad równościowych w ramach funduszy unijnych na lata 2021-2027</w:t>
      </w:r>
      <w:r w:rsidRPr="00F96176">
        <w:rPr>
          <w:rFonts w:ascii="Arial" w:hAnsi="Arial" w:cs="Arial"/>
          <w:sz w:val="24"/>
        </w:rPr>
        <w:t>.</w:t>
      </w:r>
    </w:p>
    <w:p w14:paraId="75AA9507" w14:textId="77777777" w:rsidR="0078479F" w:rsidRPr="00F96176" w:rsidRDefault="0078479F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color w:val="000000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3759FFA4" w14:textId="4A081486" w:rsidR="00E96C6A" w:rsidRPr="00F96176" w:rsidRDefault="0078479F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color w:val="000000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 xml:space="preserve">Dopuszczalne jest uznanie neutralności poszczególnych produktów/ usług projektu w stosunku do ww. zasady, o ile </w:t>
      </w:r>
      <w:r w:rsidR="008053DD" w:rsidRPr="00F96176">
        <w:rPr>
          <w:rFonts w:ascii="Arial" w:hAnsi="Arial" w:cs="Arial"/>
          <w:color w:val="000000"/>
          <w:sz w:val="24"/>
          <w:szCs w:val="24"/>
        </w:rPr>
        <w:t>Wnioskodawc</w:t>
      </w:r>
      <w:r w:rsidRPr="00F96176">
        <w:rPr>
          <w:rFonts w:ascii="Arial" w:hAnsi="Arial" w:cs="Arial"/>
          <w:color w:val="000000"/>
          <w:sz w:val="24"/>
          <w:szCs w:val="24"/>
        </w:rPr>
        <w:t>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8479F" w:rsidRPr="0036456E" w14:paraId="185CB515" w14:textId="77777777" w:rsidTr="008526C7">
        <w:tc>
          <w:tcPr>
            <w:tcW w:w="9973" w:type="dxa"/>
          </w:tcPr>
          <w:p w14:paraId="56322A1F" w14:textId="05B10918" w:rsidR="0078479F" w:rsidRPr="00F96176" w:rsidRDefault="0078479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8" w:name="_Hlk180488568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D86D315" w14:textId="77777777" w:rsidR="0078479F" w:rsidRPr="00F96176" w:rsidRDefault="0078479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8"/>
    <w:p w14:paraId="342BC12C" w14:textId="6CD1B998" w:rsidR="00DB5A71" w:rsidRPr="0036456E" w:rsidRDefault="00DB5A71" w:rsidP="00F96176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36456E">
        <w:rPr>
          <w:rFonts w:ascii="Arial" w:hAnsi="Arial" w:cs="Arial"/>
          <w:b/>
          <w:bCs/>
          <w:sz w:val="24"/>
          <w:szCs w:val="24"/>
        </w:rPr>
        <w:t>Przepisy antydyskryminacyjne</w:t>
      </w:r>
      <w:r w:rsidR="00C15483" w:rsidRPr="0036456E">
        <w:rPr>
          <w:rFonts w:ascii="Arial" w:hAnsi="Arial" w:cs="Arial"/>
          <w:b/>
          <w:bCs/>
          <w:sz w:val="24"/>
          <w:szCs w:val="24"/>
        </w:rPr>
        <w:t xml:space="preserve"> (jeżeli dotyczy)</w:t>
      </w:r>
    </w:p>
    <w:p w14:paraId="4F0136F4" w14:textId="5CB1611C" w:rsidR="00E73642" w:rsidRPr="0036456E" w:rsidRDefault="0078479F" w:rsidP="00E12F82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W przypadku</w:t>
      </w:r>
      <w:r w:rsidR="009C572E" w:rsidRPr="0036456E">
        <w:rPr>
          <w:rFonts w:ascii="Arial" w:hAnsi="Arial" w:cs="Arial"/>
          <w:sz w:val="24"/>
          <w:szCs w:val="24"/>
        </w:rPr>
        <w:t xml:space="preserve">, gdy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="009C572E" w:rsidRPr="0036456E">
        <w:rPr>
          <w:rFonts w:ascii="Arial" w:hAnsi="Arial" w:cs="Arial"/>
          <w:sz w:val="24"/>
          <w:szCs w:val="24"/>
        </w:rPr>
        <w:t>ą jest:</w:t>
      </w:r>
    </w:p>
    <w:p w14:paraId="1E29AAE9" w14:textId="06BD2D47" w:rsidR="00E73642" w:rsidRPr="0036456E" w:rsidRDefault="0078479F" w:rsidP="00E12F82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jednost</w:t>
      </w:r>
      <w:r w:rsidR="009C572E" w:rsidRPr="0036456E">
        <w:rPr>
          <w:rFonts w:ascii="Arial" w:hAnsi="Arial" w:cs="Arial"/>
          <w:sz w:val="24"/>
          <w:szCs w:val="24"/>
        </w:rPr>
        <w:t>ka</w:t>
      </w:r>
      <w:r w:rsidRPr="0036456E">
        <w:rPr>
          <w:rFonts w:ascii="Arial" w:hAnsi="Arial" w:cs="Arial"/>
          <w:sz w:val="24"/>
          <w:szCs w:val="24"/>
        </w:rPr>
        <w:t xml:space="preserve"> samorządu terytorialnego</w:t>
      </w:r>
      <w:r w:rsidR="004800CC" w:rsidRPr="0036456E">
        <w:rPr>
          <w:rFonts w:ascii="Arial" w:hAnsi="Arial" w:cs="Arial"/>
          <w:sz w:val="24"/>
          <w:szCs w:val="24"/>
        </w:rPr>
        <w:t xml:space="preserve">, </w:t>
      </w:r>
    </w:p>
    <w:p w14:paraId="536F1DEB" w14:textId="49B9C36E" w:rsidR="00E73642" w:rsidRPr="0036456E" w:rsidRDefault="00E73642" w:rsidP="00E12F82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podmiot kontrolowany przez jednostkę samorządu terytorialnego lub podmiot zależny od jednostki samorządu terytorialnego</w:t>
      </w:r>
      <w:r w:rsidR="004800CC" w:rsidRPr="0036456E">
        <w:rPr>
          <w:rFonts w:ascii="Arial" w:hAnsi="Arial" w:cs="Arial"/>
          <w:sz w:val="24"/>
          <w:szCs w:val="24"/>
        </w:rPr>
        <w:t>,</w:t>
      </w:r>
    </w:p>
    <w:p w14:paraId="26C0DCC3" w14:textId="11F5F24F" w:rsidR="0078479F" w:rsidRPr="0036456E" w:rsidRDefault="0078479F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 xml:space="preserve">należy wyjaśnić czy </w:t>
      </w:r>
      <w:r w:rsidR="00E73642" w:rsidRPr="0036456E">
        <w:rPr>
          <w:rFonts w:ascii="Arial" w:hAnsi="Arial" w:cs="Arial"/>
          <w:sz w:val="24"/>
          <w:szCs w:val="24"/>
        </w:rPr>
        <w:t>na</w:t>
      </w:r>
      <w:r w:rsidR="004800CC" w:rsidRPr="0036456E">
        <w:rPr>
          <w:rFonts w:ascii="Arial" w:hAnsi="Arial" w:cs="Arial"/>
          <w:sz w:val="24"/>
          <w:szCs w:val="24"/>
        </w:rPr>
        <w:t xml:space="preserve"> </w:t>
      </w:r>
      <w:r w:rsidR="00760CA8" w:rsidRPr="0036456E">
        <w:rPr>
          <w:rFonts w:ascii="Arial" w:hAnsi="Arial" w:cs="Arial"/>
          <w:sz w:val="24"/>
          <w:szCs w:val="24"/>
        </w:rPr>
        <w:t>t</w:t>
      </w:r>
      <w:r w:rsidR="00E73642" w:rsidRPr="0036456E">
        <w:rPr>
          <w:rFonts w:ascii="Arial" w:hAnsi="Arial" w:cs="Arial"/>
          <w:sz w:val="24"/>
          <w:szCs w:val="24"/>
        </w:rPr>
        <w:t>erenie</w:t>
      </w:r>
      <w:r w:rsidR="00760CA8" w:rsidRPr="0036456E">
        <w:rPr>
          <w:rFonts w:ascii="Arial" w:hAnsi="Arial" w:cs="Arial"/>
          <w:sz w:val="24"/>
          <w:szCs w:val="24"/>
        </w:rPr>
        <w:t xml:space="preserve"> Wnioskodawcy</w:t>
      </w:r>
      <w:r w:rsidR="00E73642" w:rsidRPr="0036456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62247543" w14:textId="16D9BC5F" w:rsidR="004800CC" w:rsidRPr="0036456E" w:rsidRDefault="00E73642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 xml:space="preserve">Wsparcie będzie udzielane wyłącznie projektom i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36456E" w:rsidRDefault="0078479F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36456E" w14:paraId="0E3CE699" w14:textId="77777777" w:rsidTr="008526C7">
        <w:tc>
          <w:tcPr>
            <w:tcW w:w="9973" w:type="dxa"/>
          </w:tcPr>
          <w:p w14:paraId="2E452C16" w14:textId="73B69D8E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9" w:name="_Hlk180488781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EB91A91" w14:textId="77777777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9"/>
    </w:tbl>
    <w:p w14:paraId="19D0B90F" w14:textId="49FA00CA" w:rsidR="0078479F" w:rsidRPr="0036456E" w:rsidRDefault="0078479F" w:rsidP="00736F05">
      <w:pPr>
        <w:spacing w:beforeLines="60" w:before="144" w:afterLines="60" w:after="144" w:line="240" w:lineRule="auto"/>
        <w:rPr>
          <w:rFonts w:ascii="Arial" w:hAnsi="Arial" w:cs="Arial"/>
          <w:b/>
          <w:sz w:val="24"/>
          <w:szCs w:val="24"/>
        </w:rPr>
      </w:pPr>
    </w:p>
    <w:p w14:paraId="1D5B6543" w14:textId="39257347" w:rsidR="009C572E" w:rsidRPr="0036456E" w:rsidRDefault="009C572E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6456E">
        <w:rPr>
          <w:rFonts w:ascii="Arial" w:eastAsiaTheme="majorEastAsia" w:hAnsi="Arial" w:cs="Arial"/>
          <w:b/>
          <w:bCs/>
          <w:sz w:val="24"/>
          <w:szCs w:val="24"/>
        </w:rPr>
        <w:t>Zgodność z zasadą równości kobiet i mężczyzn</w:t>
      </w:r>
    </w:p>
    <w:p w14:paraId="514401CC" w14:textId="6F74E809" w:rsidR="009C572E" w:rsidRPr="0036456E" w:rsidRDefault="009C572E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Należy wykazać</w:t>
      </w:r>
      <w:r w:rsidR="00760CA8" w:rsidRPr="0036456E">
        <w:rPr>
          <w:rFonts w:ascii="Arial" w:hAnsi="Arial" w:cs="Arial"/>
          <w:sz w:val="24"/>
          <w:szCs w:val="24"/>
        </w:rPr>
        <w:t>,</w:t>
      </w:r>
      <w:r w:rsidRPr="0036456E">
        <w:rPr>
          <w:rFonts w:ascii="Arial" w:hAnsi="Arial" w:cs="Arial"/>
          <w:sz w:val="24"/>
          <w:szCs w:val="24"/>
        </w:rPr>
        <w:t xml:space="preserve"> w jaki sposób projekt będzie zgodny z zasadą równości kobiet i mężczyzn. Zgodność projektu zostanie </w:t>
      </w:r>
      <w:proofErr w:type="gramStart"/>
      <w:r w:rsidRPr="0036456E">
        <w:rPr>
          <w:rFonts w:ascii="Arial" w:hAnsi="Arial" w:cs="Arial"/>
          <w:sz w:val="24"/>
          <w:szCs w:val="24"/>
        </w:rPr>
        <w:t>uznana</w:t>
      </w:r>
      <w:proofErr w:type="gramEnd"/>
      <w:r w:rsidRPr="0036456E">
        <w:rPr>
          <w:rFonts w:ascii="Arial" w:hAnsi="Arial" w:cs="Arial"/>
          <w:sz w:val="24"/>
          <w:szCs w:val="24"/>
        </w:rPr>
        <w:t xml:space="preserve"> jeśli projekt ma pozytywny bądź neutralny wpływ na zasadę równości kobiet i mężczyzn (zgodnie z zapisami </w:t>
      </w:r>
      <w:r w:rsidRPr="0036456E">
        <w:rPr>
          <w:rFonts w:ascii="Arial" w:hAnsi="Arial" w:cs="Arial"/>
          <w:i/>
          <w:iCs/>
          <w:sz w:val="24"/>
          <w:szCs w:val="24"/>
        </w:rPr>
        <w:t>„Wytycznych dotyczących realizacji zasad równościowych w ramach funduszy unijnych na lata 2021-2027”).</w:t>
      </w:r>
      <w:r w:rsidRPr="0036456E">
        <w:rPr>
          <w:rFonts w:ascii="Arial" w:hAnsi="Arial" w:cs="Arial"/>
          <w:sz w:val="24"/>
          <w:szCs w:val="24"/>
        </w:rPr>
        <w:t xml:space="preserve">  </w:t>
      </w:r>
      <w:r w:rsidRPr="0036456E">
        <w:rPr>
          <w:rFonts w:ascii="Arial" w:hAnsi="Arial" w:cs="Arial"/>
          <w:sz w:val="24"/>
          <w:szCs w:val="24"/>
        </w:rPr>
        <w:br/>
        <w:t xml:space="preserve">Aby właściwie ocenić wpływ projektu na realizację tej zasady,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a najpierw musi rozważyć, czy poprzez projekt można wyrównywać szanse osób, które w danym obszarze, znajdują się w gorszym położeniu. Następnie wymagane jest, by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>a zaplanował działania przyczyniające się do wyrównania szans osób będących w gorszym położeniu.</w:t>
      </w:r>
      <w:r w:rsidRPr="0036456E">
        <w:rPr>
          <w:rFonts w:ascii="Arial" w:hAnsi="Arial" w:cs="Arial"/>
          <w:sz w:val="24"/>
          <w:szCs w:val="24"/>
        </w:rPr>
        <w:br/>
        <w:t xml:space="preserve">Jeżeli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>a musi jednak przedstawić konkretne uzasadnienie, dlaczego jest to niemożliwe w danym projekcie.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36456E" w14:paraId="1EAC4E9C" w14:textId="77777777" w:rsidTr="008526C7">
        <w:tc>
          <w:tcPr>
            <w:tcW w:w="9973" w:type="dxa"/>
          </w:tcPr>
          <w:p w14:paraId="75BB0CBF" w14:textId="5B0EB72A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30" w:name="_Hlk180489315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3E4E184" w14:textId="77777777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0"/>
    </w:tbl>
    <w:p w14:paraId="35BAD8D1" w14:textId="77777777" w:rsidR="009C572E" w:rsidRPr="0036456E" w:rsidRDefault="009C572E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0BAF3C6" w14:textId="4E36781C" w:rsidR="009C572E" w:rsidRPr="0036456E" w:rsidRDefault="009C572E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bookmarkStart w:id="31" w:name="_Hlk180489338"/>
      <w:bookmarkStart w:id="32" w:name="_Hlk180489363"/>
      <w:r w:rsidRPr="0036456E">
        <w:rPr>
          <w:rFonts w:ascii="Arial" w:eastAsiaTheme="majorEastAsia" w:hAnsi="Arial" w:cs="Arial"/>
          <w:b/>
          <w:bCs/>
          <w:sz w:val="24"/>
          <w:szCs w:val="24"/>
        </w:rPr>
        <w:t xml:space="preserve">Zgodność z zasadą zrównoważonego rozwoju </w:t>
      </w:r>
      <w:bookmarkEnd w:id="31"/>
      <w:r w:rsidRPr="0036456E">
        <w:rPr>
          <w:rFonts w:ascii="Arial" w:eastAsiaTheme="majorEastAsia" w:hAnsi="Arial" w:cs="Arial"/>
          <w:b/>
          <w:bCs/>
          <w:sz w:val="24"/>
          <w:szCs w:val="24"/>
        </w:rPr>
        <w:t>oraz DNSH</w:t>
      </w:r>
    </w:p>
    <w:bookmarkEnd w:id="32"/>
    <w:p w14:paraId="590EE579" w14:textId="7401E4E0" w:rsidR="004761BC" w:rsidRPr="0036456E" w:rsidRDefault="004761BC" w:rsidP="00736F05">
      <w:pPr>
        <w:spacing w:beforeLines="60" w:before="144" w:afterLines="60" w:after="144" w:line="240" w:lineRule="auto"/>
        <w:rPr>
          <w:rFonts w:ascii="Arial" w:hAnsi="Arial" w:cs="Arial"/>
          <w:b/>
          <w:sz w:val="24"/>
          <w:szCs w:val="24"/>
        </w:rPr>
      </w:pPr>
      <w:r w:rsidRPr="0036456E">
        <w:rPr>
          <w:rFonts w:ascii="Arial" w:hAnsi="Arial" w:cs="Arial"/>
          <w:b/>
          <w:sz w:val="24"/>
          <w:szCs w:val="24"/>
        </w:rPr>
        <w:t>Zgodność z zasadą zrównoważonego rozwoju</w:t>
      </w:r>
    </w:p>
    <w:p w14:paraId="6CD09D27" w14:textId="27794FC6" w:rsidR="009C572E" w:rsidRPr="0036456E" w:rsidRDefault="008053DD" w:rsidP="00736F05">
      <w:pPr>
        <w:spacing w:beforeLines="60" w:before="144" w:afterLines="60" w:after="144" w:line="240" w:lineRule="auto"/>
        <w:rPr>
          <w:rFonts w:ascii="Arial" w:hAnsi="Arial" w:cs="Arial"/>
          <w:bCs/>
          <w:sz w:val="24"/>
          <w:szCs w:val="24"/>
        </w:rPr>
      </w:pPr>
      <w:r w:rsidRPr="0036456E">
        <w:rPr>
          <w:rFonts w:ascii="Arial" w:hAnsi="Arial" w:cs="Arial"/>
          <w:bCs/>
          <w:sz w:val="24"/>
          <w:szCs w:val="24"/>
        </w:rPr>
        <w:t>Wnioskodawc</w:t>
      </w:r>
      <w:r w:rsidR="009C572E" w:rsidRPr="0036456E">
        <w:rPr>
          <w:rFonts w:ascii="Arial" w:hAnsi="Arial" w:cs="Arial"/>
          <w:bCs/>
          <w:sz w:val="24"/>
          <w:szCs w:val="24"/>
        </w:rPr>
        <w:t xml:space="preserve">a powinien spełniać zasadę zrównoważonego rozwoju poprzez stosowanie właściwych rozwiązań podczas realizacji projektu. Stosownie do charakteru projektu, wymagane jest, </w:t>
      </w:r>
      <w:proofErr w:type="gramStart"/>
      <w:r w:rsidR="009C572E" w:rsidRPr="0036456E">
        <w:rPr>
          <w:rFonts w:ascii="Arial" w:hAnsi="Arial" w:cs="Arial"/>
          <w:bCs/>
          <w:sz w:val="24"/>
          <w:szCs w:val="24"/>
        </w:rPr>
        <w:t>uwzględnienie  wymogów</w:t>
      </w:r>
      <w:proofErr w:type="gramEnd"/>
      <w:r w:rsidR="009C572E" w:rsidRPr="0036456E">
        <w:rPr>
          <w:rFonts w:ascii="Arial" w:hAnsi="Arial" w:cs="Arial"/>
          <w:bCs/>
          <w:sz w:val="24"/>
          <w:szCs w:val="24"/>
        </w:rPr>
        <w:t xml:space="preserve"> ochrony środowiska i efektywnego gospodarowania zasobami.</w:t>
      </w:r>
    </w:p>
    <w:p w14:paraId="318D3E82" w14:textId="77777777" w:rsidR="002C1194" w:rsidRDefault="009C572E" w:rsidP="00596DB6">
      <w:pPr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Zgodnie z ww. zasadą wsparcie może być udzielone jedynie takim projektom, które nie prowadzą do degradacji lub znacznego pogorszenia stanu środowiska naturalnego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 oraz wykazują istotny wkład w łagodzenie zmian klimatu i adaptację do zmian klimatu</w:t>
      </w:r>
      <w:r w:rsidR="002C1194">
        <w:rPr>
          <w:rFonts w:ascii="Arial" w:hAnsi="Arial" w:cs="Arial"/>
          <w:bCs/>
          <w:sz w:val="24"/>
          <w:szCs w:val="24"/>
        </w:rPr>
        <w:t xml:space="preserve">. </w:t>
      </w:r>
    </w:p>
    <w:p w14:paraId="5456327F" w14:textId="1A32FDA1" w:rsidR="009C572E" w:rsidRPr="0036456E" w:rsidRDefault="002C1194" w:rsidP="00F96176">
      <w:pPr>
        <w:spacing w:beforeLines="60" w:before="144" w:afterLines="60" w:after="144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Należy wykazać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iż projekt jest zgodny 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z </w:t>
      </w:r>
      <w:r w:rsidR="00596DB6" w:rsidRPr="00F96176">
        <w:rPr>
          <w:rFonts w:ascii="Arial" w:hAnsi="Arial" w:cs="Arial"/>
          <w:sz w:val="24"/>
          <w:szCs w:val="24"/>
        </w:rPr>
        <w:t>Rozporządzenie</w:t>
      </w:r>
      <w:r w:rsidR="00011489">
        <w:rPr>
          <w:rFonts w:ascii="Arial" w:hAnsi="Arial" w:cs="Arial"/>
          <w:sz w:val="24"/>
          <w:szCs w:val="24"/>
        </w:rPr>
        <w:t>m</w:t>
      </w:r>
      <w:r w:rsidR="00596DB6" w:rsidRPr="00F96176">
        <w:rPr>
          <w:rFonts w:ascii="Arial" w:hAnsi="Arial" w:cs="Arial"/>
          <w:sz w:val="24"/>
          <w:szCs w:val="24"/>
        </w:rPr>
        <w:t xml:space="preserve"> Parlamentu Europejskiego i Rady (UE) 2020/852 z dnia 18 czerwca 2020 r. w sprawie ustanowienia ram ułatwiających zrównoważone inwestycje, zmieniające rozporządzenie (UE) 2019/2088</w:t>
      </w:r>
      <w:r w:rsidR="00596DB6">
        <w:rPr>
          <w:rFonts w:ascii="Arial" w:hAnsi="Arial" w:cs="Arial"/>
          <w:sz w:val="24"/>
          <w:szCs w:val="24"/>
        </w:rPr>
        <w:t>.</w:t>
      </w:r>
      <w:r w:rsidR="00596DB6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4761BC" w:rsidRPr="0036456E" w14:paraId="32CB3FE8" w14:textId="77777777" w:rsidTr="00C15483">
        <w:tc>
          <w:tcPr>
            <w:tcW w:w="9068" w:type="dxa"/>
          </w:tcPr>
          <w:p w14:paraId="3E1D6870" w14:textId="77777777" w:rsidR="004761BC" w:rsidRPr="0036456E" w:rsidRDefault="004761BC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F733BD5" w14:textId="77777777" w:rsidR="004761BC" w:rsidRPr="0036456E" w:rsidRDefault="004761BC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2BB77" w14:textId="69C6282C" w:rsidR="009D687F" w:rsidRPr="0036456E" w:rsidRDefault="004761BC" w:rsidP="00736F05">
      <w:pPr>
        <w:spacing w:beforeLines="60" w:before="144" w:afterLines="60" w:after="144" w:line="240" w:lineRule="auto"/>
        <w:rPr>
          <w:rFonts w:ascii="Arial" w:hAnsi="Arial" w:cs="Arial"/>
          <w:i/>
          <w:iCs/>
          <w:sz w:val="24"/>
          <w:szCs w:val="24"/>
        </w:rPr>
      </w:pPr>
      <w:r w:rsidRPr="0036456E">
        <w:rPr>
          <w:rFonts w:ascii="Arial" w:hAnsi="Arial" w:cs="Arial"/>
          <w:b/>
          <w:sz w:val="24"/>
          <w:szCs w:val="24"/>
        </w:rPr>
        <w:t>Zgodność projektu z zasadą DNSH</w:t>
      </w:r>
      <w:r w:rsidRPr="0036456E">
        <w:rPr>
          <w:rFonts w:ascii="Arial" w:hAnsi="Arial" w:cs="Arial"/>
          <w:sz w:val="24"/>
          <w:szCs w:val="24"/>
        </w:rPr>
        <w:t xml:space="preserve"> należy przedstawić w </w:t>
      </w:r>
      <w:r w:rsidR="00C15483" w:rsidRPr="0036456E">
        <w:rPr>
          <w:rFonts w:ascii="Arial" w:hAnsi="Arial" w:cs="Arial"/>
          <w:sz w:val="24"/>
          <w:szCs w:val="24"/>
        </w:rPr>
        <w:t>Załączniku</w:t>
      </w:r>
      <w:r w:rsidRPr="0036456E">
        <w:rPr>
          <w:rFonts w:ascii="Arial" w:hAnsi="Arial" w:cs="Arial"/>
          <w:sz w:val="24"/>
          <w:szCs w:val="24"/>
        </w:rPr>
        <w:t xml:space="preserve"> </w:t>
      </w:r>
      <w:r w:rsidRPr="0036456E">
        <w:rPr>
          <w:rFonts w:ascii="Arial" w:hAnsi="Arial" w:cs="Arial"/>
          <w:i/>
          <w:iCs/>
          <w:sz w:val="24"/>
          <w:szCs w:val="24"/>
        </w:rPr>
        <w:t>Formularz w zakresie oceny oddziaływania na środowisko z uwzględnieniem zasady „nie czyń znaczącej szkody” (zasada DNSH)”</w:t>
      </w:r>
    </w:p>
    <w:p w14:paraId="1103DD88" w14:textId="6E3CAA4C" w:rsidR="006B1577" w:rsidRPr="0036456E" w:rsidRDefault="00C73077" w:rsidP="00EE6A6C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Weryfikując projekt pod kątem zgodności z zasadą DNSH należy odnieść się do dokumentu </w:t>
      </w:r>
      <w:r w:rsidR="00EE6A6C">
        <w:rPr>
          <w:rFonts w:ascii="Arial" w:hAnsi="Arial" w:cs="Arial"/>
          <w:sz w:val="24"/>
          <w:szCs w:val="24"/>
        </w:rPr>
        <w:t>„</w:t>
      </w:r>
      <w:r w:rsidR="00EE6A6C" w:rsidRPr="00EE6A6C">
        <w:rPr>
          <w:rFonts w:ascii="Arial" w:hAnsi="Arial" w:cs="Arial"/>
          <w:sz w:val="24"/>
          <w:szCs w:val="24"/>
        </w:rPr>
        <w:t xml:space="preserve">Ocena „nie czyń poważnych szkód” - Do No </w:t>
      </w:r>
      <w:proofErr w:type="spellStart"/>
      <w:r w:rsidR="00EE6A6C" w:rsidRPr="00EE6A6C">
        <w:rPr>
          <w:rFonts w:ascii="Arial" w:hAnsi="Arial" w:cs="Arial"/>
          <w:sz w:val="24"/>
          <w:szCs w:val="24"/>
        </w:rPr>
        <w:t>Significant</w:t>
      </w:r>
      <w:proofErr w:type="spellEnd"/>
      <w:r w:rsidR="00EE6A6C" w:rsidRPr="00E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A6C" w:rsidRPr="00EE6A6C">
        <w:rPr>
          <w:rFonts w:ascii="Arial" w:hAnsi="Arial" w:cs="Arial"/>
          <w:sz w:val="24"/>
          <w:szCs w:val="24"/>
        </w:rPr>
        <w:t>Harm</w:t>
      </w:r>
      <w:proofErr w:type="spellEnd"/>
      <w:r w:rsidR="00EE6A6C" w:rsidRPr="00EE6A6C">
        <w:rPr>
          <w:rFonts w:ascii="Arial" w:hAnsi="Arial" w:cs="Arial"/>
          <w:sz w:val="24"/>
          <w:szCs w:val="24"/>
        </w:rPr>
        <w:t xml:space="preserve"> -</w:t>
      </w:r>
      <w:r w:rsidR="00EE6A6C">
        <w:rPr>
          <w:rFonts w:ascii="Arial" w:hAnsi="Arial" w:cs="Arial"/>
          <w:sz w:val="24"/>
          <w:szCs w:val="24"/>
        </w:rPr>
        <w:t xml:space="preserve"> </w:t>
      </w:r>
      <w:r w:rsidR="00EE6A6C" w:rsidRPr="00EE6A6C">
        <w:rPr>
          <w:rFonts w:ascii="Arial" w:hAnsi="Arial" w:cs="Arial"/>
          <w:sz w:val="24"/>
          <w:szCs w:val="24"/>
        </w:rPr>
        <w:t>(DNSH) dla typów projektów ujętych w programie</w:t>
      </w:r>
      <w:r w:rsidR="00EE6A6C">
        <w:rPr>
          <w:rFonts w:ascii="Arial" w:hAnsi="Arial" w:cs="Arial"/>
          <w:sz w:val="24"/>
          <w:szCs w:val="24"/>
        </w:rPr>
        <w:t xml:space="preserve"> </w:t>
      </w:r>
      <w:r w:rsidR="00EE6A6C" w:rsidRPr="00EE6A6C">
        <w:rPr>
          <w:rFonts w:ascii="Arial" w:hAnsi="Arial" w:cs="Arial"/>
          <w:sz w:val="24"/>
          <w:szCs w:val="24"/>
        </w:rPr>
        <w:t>Fundusze Europejskie dla Podlaskiego 2021-2027</w:t>
      </w:r>
      <w:r w:rsidR="00EE6A6C">
        <w:rPr>
          <w:rFonts w:ascii="Arial" w:hAnsi="Arial" w:cs="Arial"/>
          <w:sz w:val="24"/>
          <w:szCs w:val="24"/>
        </w:rPr>
        <w:t xml:space="preserve">”, dostępnego pod linkiem: </w:t>
      </w:r>
      <w:hyperlink r:id="rId8" w:history="1">
        <w:r w:rsidR="00EE6A6C" w:rsidRPr="00EE6A6C">
          <w:rPr>
            <w:rStyle w:val="Hipercze"/>
            <w:rFonts w:ascii="Arial" w:hAnsi="Arial" w:cs="Arial"/>
            <w:sz w:val="24"/>
            <w:szCs w:val="24"/>
          </w:rPr>
          <w:t>https://funduszeuepodlaskie.pl/dokumenty/ocena-nie-czyn-powaznych-szkod-do-no-</w:t>
        </w:r>
        <w:r w:rsidR="00EE6A6C" w:rsidRPr="00EE6A6C">
          <w:rPr>
            <w:rStyle w:val="Hipercze"/>
            <w:rFonts w:ascii="Arial" w:hAnsi="Arial" w:cs="Arial"/>
            <w:sz w:val="24"/>
            <w:szCs w:val="24"/>
          </w:rPr>
          <w:lastRenderedPageBreak/>
          <w:t>significant-harm-dnsh-dla-typow-projektow-ujetych-w-programie-fundusze-europejskie-dla-podlaskiego-2021-2027/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5A20EBC" w14:textId="0D56C190" w:rsidR="009D687F" w:rsidRPr="0036456E" w:rsidRDefault="001B773C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6456E">
        <w:rPr>
          <w:rFonts w:ascii="Arial" w:eastAsiaTheme="majorEastAsia" w:hAnsi="Arial" w:cs="Arial"/>
          <w:b/>
          <w:bCs/>
          <w:sz w:val="24"/>
          <w:szCs w:val="24"/>
        </w:rPr>
        <w:t xml:space="preserve">Analiza </w:t>
      </w:r>
      <w:r w:rsidR="004761BC" w:rsidRPr="0036456E">
        <w:rPr>
          <w:rFonts w:ascii="Arial" w:eastAsiaTheme="majorEastAsia" w:hAnsi="Arial" w:cs="Arial"/>
          <w:b/>
          <w:bCs/>
          <w:sz w:val="24"/>
          <w:szCs w:val="24"/>
        </w:rPr>
        <w:t>pomocy publicznej</w:t>
      </w:r>
    </w:p>
    <w:p w14:paraId="489C07C9" w14:textId="3297B4F8" w:rsidR="00434856" w:rsidRPr="0036456E" w:rsidRDefault="00434856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Należy dokonać analizy inwestycji pod kątem zgodności z art. 107 ust. 1 Traktatu o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 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funkcjonowaniu Unii Europejskiej. </w:t>
      </w:r>
      <w:r w:rsidR="001B773C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polu opisowym należy przedstawić szczegółowe uzasadnienie </w:t>
      </w:r>
      <w:r w:rsidR="00C976AC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dla każdej z przesłanek wystąpienia pomocy publicznej. Analiza powinna być szczegółowa i przeprowadzona w oparciu o zapisy Komunikatu Komisji – Zawiadomienie Komisji w sprawie pojęcia pomocy państwa w rozumieniu art. 107 ust.1 TFUE.</w:t>
      </w:r>
    </w:p>
    <w:p w14:paraId="4640CC5D" w14:textId="00092823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czy w projekcie występuje transfer zasobów publicznych?</w:t>
      </w:r>
    </w:p>
    <w:p w14:paraId="4D649D47" w14:textId="3138DAC9" w:rsidR="000B1C2D" w:rsidRPr="0036456E" w:rsidRDefault="00144137" w:rsidP="00736F05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Start w:id="33" w:name="_Hlk180490602"/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bookmarkEnd w:id="33"/>
    <w:p w14:paraId="3EECDC8F" w14:textId="30C31950" w:rsidR="00434856" w:rsidRPr="0036456E" w:rsidRDefault="00C15483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c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zy pomoc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udzielan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a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jest na warunkach korzystniejszych niż oferowane na rynku</w:t>
      </w:r>
      <w:r w:rsidR="002D7E22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0727FC3D" w14:textId="3C4E0692" w:rsidR="000B1C2D" w:rsidRPr="0036456E" w:rsidRDefault="00144137" w:rsidP="00736F05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1FD62C73" w14:textId="0DBE80DB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czy przyznanie pomoc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y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ma charakter selektywny (uprzywilejowuje określone przedsiębiorstwo lub przedsiębiorstwa albo produkcję określonych towarów)</w:t>
      </w:r>
      <w:r w:rsidR="002D7E22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5A2E4EB2" w14:textId="185EF000" w:rsidR="000B1C2D" w:rsidRPr="0036456E" w:rsidRDefault="00144137" w:rsidP="00736F05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7C262391" w14:textId="50A532AB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czy przyznanie pomocy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grozi zakłóceniem lub zakłóca konkurencję oraz wpływa na wymianę handlową między Państwami Członkowskimi UE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42EE63C1" w14:textId="418870AF" w:rsidR="00C15483" w:rsidRPr="0036456E" w:rsidRDefault="00C15483" w:rsidP="00736F05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1889ECD7" w14:textId="77777777" w:rsidR="00266CD1" w:rsidRPr="0036456E" w:rsidRDefault="00266CD1" w:rsidP="00266CD1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Jeśli pomoc publiczna wystąpi – należy podać podstawę pomocy oraz wykazać spełnienie przez Wnioskodawcę i projekt wszystkich wymogów wynikających z krajowych i unijnych rozporządzeń pomocowych.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B1C2D" w:rsidRPr="0036456E" w14:paraId="586F6129" w14:textId="77777777" w:rsidTr="00C15483">
        <w:tc>
          <w:tcPr>
            <w:tcW w:w="9068" w:type="dxa"/>
          </w:tcPr>
          <w:p w14:paraId="4E58BFC7" w14:textId="2FFD304B" w:rsidR="000B1C2D" w:rsidRPr="0036456E" w:rsidRDefault="000B1C2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34" w:name="_Hlk180497113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3DC20CBC" w14:textId="77777777" w:rsidR="000B1C2D" w:rsidRPr="0036456E" w:rsidRDefault="000B1C2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4"/>
    </w:tbl>
    <w:p w14:paraId="4B7AC54B" w14:textId="77777777" w:rsidR="000B1C2D" w:rsidRPr="0036456E" w:rsidRDefault="000B1C2D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4A73C8E4" w14:textId="63E0D155" w:rsidR="00253B99" w:rsidRPr="00F96176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data sporządzenia:</w:t>
      </w:r>
    </w:p>
    <w:p w14:paraId="136550F4" w14:textId="77777777" w:rsidR="003B11F0" w:rsidRPr="00F96176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E9DD92" w14:textId="718D8F30" w:rsidR="003B11F0" w:rsidRPr="003B11F0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podpis Wn</w:t>
      </w:r>
      <w:r>
        <w:rPr>
          <w:rFonts w:ascii="Arial" w:hAnsi="Arial" w:cs="Arial"/>
          <w:b/>
          <w:bCs/>
          <w:color w:val="000000"/>
        </w:rPr>
        <w:t>ioskodawcy</w:t>
      </w:r>
      <w:r w:rsidR="008655EF">
        <w:rPr>
          <w:rFonts w:ascii="Arial" w:hAnsi="Arial" w:cs="Arial"/>
          <w:b/>
          <w:bCs/>
          <w:color w:val="000000"/>
        </w:rPr>
        <w:t>:</w:t>
      </w:r>
    </w:p>
    <w:sectPr w:rsidR="003B11F0" w:rsidRPr="003B11F0" w:rsidSect="002D7E22">
      <w:footerReference w:type="default" r:id="rId9"/>
      <w:headerReference w:type="first" r:id="rId10"/>
      <w:footerReference w:type="first" r:id="rId11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53B9" w14:textId="77777777" w:rsidR="00B428AB" w:rsidRDefault="00B428AB">
      <w:pPr>
        <w:spacing w:after="0" w:line="240" w:lineRule="auto"/>
      </w:pPr>
      <w:r>
        <w:separator/>
      </w:r>
    </w:p>
  </w:endnote>
  <w:endnote w:type="continuationSeparator" w:id="0">
    <w:p w14:paraId="7868FB18" w14:textId="77777777" w:rsidR="00B428AB" w:rsidRDefault="00B4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E6AD" w14:textId="77777777" w:rsidR="00B428AB" w:rsidRDefault="00B428AB">
      <w:r>
        <w:separator/>
      </w:r>
    </w:p>
  </w:footnote>
  <w:footnote w:type="continuationSeparator" w:id="0">
    <w:p w14:paraId="18D2AC5B" w14:textId="77777777" w:rsidR="00B428AB" w:rsidRDefault="00B4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1172881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353"/>
    <w:multiLevelType w:val="multilevel"/>
    <w:tmpl w:val="8BDA9A4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A62045"/>
    <w:multiLevelType w:val="hybridMultilevel"/>
    <w:tmpl w:val="52889820"/>
    <w:lvl w:ilvl="0" w:tplc="A79CB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38C5"/>
    <w:multiLevelType w:val="hybridMultilevel"/>
    <w:tmpl w:val="5D98F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6799A"/>
    <w:multiLevelType w:val="hybridMultilevel"/>
    <w:tmpl w:val="EC262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10E6"/>
    <w:multiLevelType w:val="hybridMultilevel"/>
    <w:tmpl w:val="995275B8"/>
    <w:lvl w:ilvl="0" w:tplc="5E98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22D7D"/>
    <w:multiLevelType w:val="hybridMultilevel"/>
    <w:tmpl w:val="E24C030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72EE4"/>
    <w:multiLevelType w:val="hybridMultilevel"/>
    <w:tmpl w:val="DEDAC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2E46"/>
    <w:multiLevelType w:val="multilevel"/>
    <w:tmpl w:val="002CD40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947B4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61426"/>
    <w:multiLevelType w:val="hybridMultilevel"/>
    <w:tmpl w:val="164A96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C4526A"/>
    <w:multiLevelType w:val="multilevel"/>
    <w:tmpl w:val="FCFCFE1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D71A1F"/>
    <w:multiLevelType w:val="multilevel"/>
    <w:tmpl w:val="9B2C980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4" w15:restartNumberingAfterBreak="0">
    <w:nsid w:val="3818412B"/>
    <w:multiLevelType w:val="multilevel"/>
    <w:tmpl w:val="8A98645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5" w15:restartNumberingAfterBreak="0">
    <w:nsid w:val="381D6BE6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07AFE"/>
    <w:multiLevelType w:val="hybridMultilevel"/>
    <w:tmpl w:val="CCAC7022"/>
    <w:lvl w:ilvl="0" w:tplc="A79CB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9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382993"/>
    <w:multiLevelType w:val="hybridMultilevel"/>
    <w:tmpl w:val="E55C9B06"/>
    <w:lvl w:ilvl="0" w:tplc="04150017">
      <w:start w:val="1"/>
      <w:numFmt w:val="lowerLetter"/>
      <w:lvlText w:val="%1)"/>
      <w:lvlJc w:val="left"/>
      <w:pPr>
        <w:ind w:left="1709" w:hanging="360"/>
      </w:pPr>
    </w:lvl>
    <w:lvl w:ilvl="1" w:tplc="04150019">
      <w:start w:val="1"/>
      <w:numFmt w:val="lowerLetter"/>
      <w:lvlText w:val="%2."/>
      <w:lvlJc w:val="left"/>
      <w:pPr>
        <w:ind w:left="2429" w:hanging="360"/>
      </w:pPr>
    </w:lvl>
    <w:lvl w:ilvl="2" w:tplc="0415001B">
      <w:start w:val="1"/>
      <w:numFmt w:val="lowerRoman"/>
      <w:lvlText w:val="%3."/>
      <w:lvlJc w:val="right"/>
      <w:pPr>
        <w:ind w:left="3149" w:hanging="180"/>
      </w:pPr>
    </w:lvl>
    <w:lvl w:ilvl="3" w:tplc="0415000F">
      <w:start w:val="1"/>
      <w:numFmt w:val="decimal"/>
      <w:lvlText w:val="%4."/>
      <w:lvlJc w:val="left"/>
      <w:pPr>
        <w:ind w:left="3869" w:hanging="360"/>
      </w:pPr>
    </w:lvl>
    <w:lvl w:ilvl="4" w:tplc="04150019">
      <w:start w:val="1"/>
      <w:numFmt w:val="lowerLetter"/>
      <w:lvlText w:val="%5."/>
      <w:lvlJc w:val="left"/>
      <w:pPr>
        <w:ind w:left="4589" w:hanging="360"/>
      </w:pPr>
    </w:lvl>
    <w:lvl w:ilvl="5" w:tplc="0415001B">
      <w:start w:val="1"/>
      <w:numFmt w:val="lowerRoman"/>
      <w:lvlText w:val="%6."/>
      <w:lvlJc w:val="right"/>
      <w:pPr>
        <w:ind w:left="5309" w:hanging="180"/>
      </w:pPr>
    </w:lvl>
    <w:lvl w:ilvl="6" w:tplc="0415000F">
      <w:start w:val="1"/>
      <w:numFmt w:val="decimal"/>
      <w:lvlText w:val="%7."/>
      <w:lvlJc w:val="left"/>
      <w:pPr>
        <w:ind w:left="6029" w:hanging="360"/>
      </w:pPr>
    </w:lvl>
    <w:lvl w:ilvl="7" w:tplc="04150019">
      <w:start w:val="1"/>
      <w:numFmt w:val="lowerLetter"/>
      <w:lvlText w:val="%8."/>
      <w:lvlJc w:val="left"/>
      <w:pPr>
        <w:ind w:left="6749" w:hanging="360"/>
      </w:pPr>
    </w:lvl>
    <w:lvl w:ilvl="8" w:tplc="0415001B">
      <w:start w:val="1"/>
      <w:numFmt w:val="lowerRoman"/>
      <w:lvlText w:val="%9."/>
      <w:lvlJc w:val="right"/>
      <w:pPr>
        <w:ind w:left="7469" w:hanging="180"/>
      </w:pPr>
    </w:lvl>
  </w:abstractNum>
  <w:abstractNum w:abstractNumId="31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3F9C044B"/>
    <w:multiLevelType w:val="hybridMultilevel"/>
    <w:tmpl w:val="E0189E2E"/>
    <w:lvl w:ilvl="0" w:tplc="E3AA94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B208DD"/>
    <w:multiLevelType w:val="hybridMultilevel"/>
    <w:tmpl w:val="E864D716"/>
    <w:lvl w:ilvl="0" w:tplc="09FED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2864008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7" w15:restartNumberingAfterBreak="0">
    <w:nsid w:val="4A4926B7"/>
    <w:multiLevelType w:val="hybridMultilevel"/>
    <w:tmpl w:val="A3E4D1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216D79"/>
    <w:multiLevelType w:val="hybridMultilevel"/>
    <w:tmpl w:val="61EAA6BE"/>
    <w:lvl w:ilvl="0" w:tplc="A79CB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8E634D"/>
    <w:multiLevelType w:val="hybridMultilevel"/>
    <w:tmpl w:val="B33A62D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F5CAF"/>
    <w:multiLevelType w:val="multilevel"/>
    <w:tmpl w:val="BC5A7E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D713A4"/>
    <w:multiLevelType w:val="hybridMultilevel"/>
    <w:tmpl w:val="396EA8F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B13596"/>
    <w:multiLevelType w:val="hybridMultilevel"/>
    <w:tmpl w:val="F7F895E8"/>
    <w:lvl w:ilvl="0" w:tplc="8A3E0EDC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6E5D21"/>
    <w:multiLevelType w:val="hybridMultilevel"/>
    <w:tmpl w:val="2B12D436"/>
    <w:lvl w:ilvl="0" w:tplc="A79CB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C7427D9"/>
    <w:multiLevelType w:val="multilevel"/>
    <w:tmpl w:val="B20297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8" w15:restartNumberingAfterBreak="0">
    <w:nsid w:val="5CF44A21"/>
    <w:multiLevelType w:val="multilevel"/>
    <w:tmpl w:val="3F78444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9" w15:restartNumberingAfterBreak="0">
    <w:nsid w:val="5D6D5ACA"/>
    <w:multiLevelType w:val="hybridMultilevel"/>
    <w:tmpl w:val="5EC8B204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1" w15:restartNumberingAfterBreak="0">
    <w:nsid w:val="602E0769"/>
    <w:multiLevelType w:val="hybridMultilevel"/>
    <w:tmpl w:val="8494B6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16D66BA"/>
    <w:multiLevelType w:val="hybridMultilevel"/>
    <w:tmpl w:val="95F69E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452F3F"/>
    <w:multiLevelType w:val="hybridMultilevel"/>
    <w:tmpl w:val="BEE4AB9C"/>
    <w:lvl w:ilvl="0" w:tplc="31A28A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294F3D"/>
    <w:multiLevelType w:val="hybridMultilevel"/>
    <w:tmpl w:val="5F20E72A"/>
    <w:lvl w:ilvl="0" w:tplc="F9969A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56" w15:restartNumberingAfterBreak="0">
    <w:nsid w:val="69BF1C7C"/>
    <w:multiLevelType w:val="multilevel"/>
    <w:tmpl w:val="02F0138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A89461F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B2DE4"/>
    <w:multiLevelType w:val="hybridMultilevel"/>
    <w:tmpl w:val="780CC0D8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1618F1"/>
    <w:multiLevelType w:val="multilevel"/>
    <w:tmpl w:val="11984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2C0E8D"/>
    <w:multiLevelType w:val="multilevel"/>
    <w:tmpl w:val="B6EE722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B3B5F0E"/>
    <w:multiLevelType w:val="hybridMultilevel"/>
    <w:tmpl w:val="0490411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E538A3"/>
    <w:multiLevelType w:val="hybridMultilevel"/>
    <w:tmpl w:val="917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9B722D"/>
    <w:multiLevelType w:val="hybridMultilevel"/>
    <w:tmpl w:val="0CE2AB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EBE12C6"/>
    <w:multiLevelType w:val="hybridMultilevel"/>
    <w:tmpl w:val="AFF60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48331">
    <w:abstractNumId w:val="20"/>
  </w:num>
  <w:num w:numId="2" w16cid:durableId="1355351360">
    <w:abstractNumId w:val="14"/>
  </w:num>
  <w:num w:numId="3" w16cid:durableId="1093478712">
    <w:abstractNumId w:val="19"/>
  </w:num>
  <w:num w:numId="4" w16cid:durableId="536552809">
    <w:abstractNumId w:val="63"/>
  </w:num>
  <w:num w:numId="5" w16cid:durableId="1533568300">
    <w:abstractNumId w:val="26"/>
  </w:num>
  <w:num w:numId="6" w16cid:durableId="224993735">
    <w:abstractNumId w:val="34"/>
  </w:num>
  <w:num w:numId="7" w16cid:durableId="1489323363">
    <w:abstractNumId w:val="21"/>
  </w:num>
  <w:num w:numId="8" w16cid:durableId="1359816038">
    <w:abstractNumId w:val="60"/>
  </w:num>
  <w:num w:numId="9" w16cid:durableId="325714345">
    <w:abstractNumId w:val="45"/>
  </w:num>
  <w:num w:numId="10" w16cid:durableId="1385060101">
    <w:abstractNumId w:val="12"/>
  </w:num>
  <w:num w:numId="11" w16cid:durableId="331614833">
    <w:abstractNumId w:val="41"/>
  </w:num>
  <w:num w:numId="12" w16cid:durableId="852110705">
    <w:abstractNumId w:val="68"/>
  </w:num>
  <w:num w:numId="13" w16cid:durableId="102190946">
    <w:abstractNumId w:val="23"/>
  </w:num>
  <w:num w:numId="14" w16cid:durableId="1713387516">
    <w:abstractNumId w:val="2"/>
  </w:num>
  <w:num w:numId="15" w16cid:durableId="1526989285">
    <w:abstractNumId w:val="40"/>
  </w:num>
  <w:num w:numId="16" w16cid:durableId="893156751">
    <w:abstractNumId w:val="59"/>
  </w:num>
  <w:num w:numId="17" w16cid:durableId="1119452323">
    <w:abstractNumId w:val="36"/>
  </w:num>
  <w:num w:numId="18" w16cid:durableId="390420998">
    <w:abstractNumId w:val="50"/>
  </w:num>
  <w:num w:numId="19" w16cid:durableId="702367546">
    <w:abstractNumId w:val="22"/>
  </w:num>
  <w:num w:numId="20" w16cid:durableId="1990209997">
    <w:abstractNumId w:val="28"/>
  </w:num>
  <w:num w:numId="21" w16cid:durableId="2078235258">
    <w:abstractNumId w:val="29"/>
  </w:num>
  <w:num w:numId="22" w16cid:durableId="851188072">
    <w:abstractNumId w:val="62"/>
  </w:num>
  <w:num w:numId="23" w16cid:durableId="1048530500">
    <w:abstractNumId w:val="44"/>
  </w:num>
  <w:num w:numId="24" w16cid:durableId="1030104223">
    <w:abstractNumId w:val="31"/>
  </w:num>
  <w:num w:numId="25" w16cid:durableId="1693922570">
    <w:abstractNumId w:val="55"/>
  </w:num>
  <w:num w:numId="26" w16cid:durableId="1885171282">
    <w:abstractNumId w:val="6"/>
  </w:num>
  <w:num w:numId="27" w16cid:durableId="1816682087">
    <w:abstractNumId w:val="13"/>
  </w:num>
  <w:num w:numId="28" w16cid:durableId="470366496">
    <w:abstractNumId w:val="15"/>
  </w:num>
  <w:num w:numId="29" w16cid:durableId="1376853891">
    <w:abstractNumId w:val="3"/>
  </w:num>
  <w:num w:numId="30" w16cid:durableId="711853932">
    <w:abstractNumId w:val="65"/>
  </w:num>
  <w:num w:numId="31" w16cid:durableId="588271958">
    <w:abstractNumId w:val="8"/>
  </w:num>
  <w:num w:numId="32" w16cid:durableId="1414202504">
    <w:abstractNumId w:val="10"/>
  </w:num>
  <w:num w:numId="33" w16cid:durableId="467364431">
    <w:abstractNumId w:val="64"/>
  </w:num>
  <w:num w:numId="34" w16cid:durableId="1960529540">
    <w:abstractNumId w:val="18"/>
  </w:num>
  <w:num w:numId="35" w16cid:durableId="1161695722">
    <w:abstractNumId w:val="24"/>
  </w:num>
  <w:num w:numId="36" w16cid:durableId="1586038982">
    <w:abstractNumId w:val="17"/>
  </w:num>
  <w:num w:numId="37" w16cid:durableId="161705820">
    <w:abstractNumId w:val="52"/>
  </w:num>
  <w:num w:numId="38" w16cid:durableId="693918754">
    <w:abstractNumId w:val="7"/>
  </w:num>
  <w:num w:numId="39" w16cid:durableId="837303774">
    <w:abstractNumId w:val="37"/>
  </w:num>
  <w:num w:numId="40" w16cid:durableId="1996883257">
    <w:abstractNumId w:val="47"/>
  </w:num>
  <w:num w:numId="41" w16cid:durableId="666714511">
    <w:abstractNumId w:val="33"/>
  </w:num>
  <w:num w:numId="42" w16cid:durableId="404498021">
    <w:abstractNumId w:val="11"/>
  </w:num>
  <w:num w:numId="43" w16cid:durableId="321278557">
    <w:abstractNumId w:val="25"/>
  </w:num>
  <w:num w:numId="44" w16cid:durableId="975067335">
    <w:abstractNumId w:val="35"/>
  </w:num>
  <w:num w:numId="45" w16cid:durableId="1425300323">
    <w:abstractNumId w:val="57"/>
  </w:num>
  <w:num w:numId="46" w16cid:durableId="1721972388">
    <w:abstractNumId w:val="58"/>
  </w:num>
  <w:num w:numId="47" w16cid:durableId="987369264">
    <w:abstractNumId w:val="54"/>
  </w:num>
  <w:num w:numId="48" w16cid:durableId="1861315535">
    <w:abstractNumId w:val="9"/>
  </w:num>
  <w:num w:numId="49" w16cid:durableId="1564873156">
    <w:abstractNumId w:val="69"/>
  </w:num>
  <w:num w:numId="50" w16cid:durableId="887230257">
    <w:abstractNumId w:val="61"/>
  </w:num>
  <w:num w:numId="51" w16cid:durableId="321204695">
    <w:abstractNumId w:val="42"/>
  </w:num>
  <w:num w:numId="52" w16cid:durableId="754475438">
    <w:abstractNumId w:val="48"/>
  </w:num>
  <w:num w:numId="53" w16cid:durableId="1154762227">
    <w:abstractNumId w:val="56"/>
  </w:num>
  <w:num w:numId="54" w16cid:durableId="869414347">
    <w:abstractNumId w:val="66"/>
  </w:num>
  <w:num w:numId="55" w16cid:durableId="963996861">
    <w:abstractNumId w:val="39"/>
  </w:num>
  <w:num w:numId="56" w16cid:durableId="255331164">
    <w:abstractNumId w:val="67"/>
  </w:num>
  <w:num w:numId="57" w16cid:durableId="518786143">
    <w:abstractNumId w:val="49"/>
  </w:num>
  <w:num w:numId="58" w16cid:durableId="799229728">
    <w:abstractNumId w:val="0"/>
  </w:num>
  <w:num w:numId="59" w16cid:durableId="10504918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56674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730374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56060990">
    <w:abstractNumId w:val="4"/>
  </w:num>
  <w:num w:numId="63" w16cid:durableId="1796219706">
    <w:abstractNumId w:val="16"/>
  </w:num>
  <w:num w:numId="64" w16cid:durableId="1135829379">
    <w:abstractNumId w:val="5"/>
  </w:num>
  <w:num w:numId="65" w16cid:durableId="1344480736">
    <w:abstractNumId w:val="32"/>
  </w:num>
  <w:num w:numId="66" w16cid:durableId="1754741912">
    <w:abstractNumId w:val="46"/>
  </w:num>
  <w:num w:numId="67" w16cid:durableId="2036467102">
    <w:abstractNumId w:val="27"/>
  </w:num>
  <w:num w:numId="68" w16cid:durableId="66195393">
    <w:abstractNumId w:val="53"/>
  </w:num>
  <w:num w:numId="69" w16cid:durableId="308633821">
    <w:abstractNumId w:val="38"/>
  </w:num>
  <w:num w:numId="70" w16cid:durableId="635379733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1489"/>
    <w:rsid w:val="00016D30"/>
    <w:rsid w:val="000329AF"/>
    <w:rsid w:val="00033B2E"/>
    <w:rsid w:val="000437C6"/>
    <w:rsid w:val="000438CA"/>
    <w:rsid w:val="00045773"/>
    <w:rsid w:val="00047460"/>
    <w:rsid w:val="00053A85"/>
    <w:rsid w:val="000565D5"/>
    <w:rsid w:val="00061D58"/>
    <w:rsid w:val="00067EE1"/>
    <w:rsid w:val="0007478A"/>
    <w:rsid w:val="00077803"/>
    <w:rsid w:val="00081F04"/>
    <w:rsid w:val="00083E0D"/>
    <w:rsid w:val="000919CA"/>
    <w:rsid w:val="00093A57"/>
    <w:rsid w:val="000952F7"/>
    <w:rsid w:val="0009569E"/>
    <w:rsid w:val="000A0ACD"/>
    <w:rsid w:val="000A1E50"/>
    <w:rsid w:val="000B1C2D"/>
    <w:rsid w:val="000B45BF"/>
    <w:rsid w:val="000B500A"/>
    <w:rsid w:val="000B5F5E"/>
    <w:rsid w:val="000C20AC"/>
    <w:rsid w:val="000C3DD5"/>
    <w:rsid w:val="000D2698"/>
    <w:rsid w:val="000D3175"/>
    <w:rsid w:val="000E0126"/>
    <w:rsid w:val="000E60D1"/>
    <w:rsid w:val="000E78AC"/>
    <w:rsid w:val="000F22D1"/>
    <w:rsid w:val="000F79D5"/>
    <w:rsid w:val="001031A4"/>
    <w:rsid w:val="0010327A"/>
    <w:rsid w:val="00106225"/>
    <w:rsid w:val="00107B83"/>
    <w:rsid w:val="00112217"/>
    <w:rsid w:val="0011351E"/>
    <w:rsid w:val="00113E5A"/>
    <w:rsid w:val="00116849"/>
    <w:rsid w:val="00117179"/>
    <w:rsid w:val="00121904"/>
    <w:rsid w:val="00130B35"/>
    <w:rsid w:val="00133899"/>
    <w:rsid w:val="00133A54"/>
    <w:rsid w:val="001344A5"/>
    <w:rsid w:val="00144137"/>
    <w:rsid w:val="001467A0"/>
    <w:rsid w:val="00151B78"/>
    <w:rsid w:val="00154C80"/>
    <w:rsid w:val="00157BDC"/>
    <w:rsid w:val="00157C75"/>
    <w:rsid w:val="001600F6"/>
    <w:rsid w:val="00160488"/>
    <w:rsid w:val="00162316"/>
    <w:rsid w:val="0016324B"/>
    <w:rsid w:val="00167E71"/>
    <w:rsid w:val="00174F28"/>
    <w:rsid w:val="00183E1D"/>
    <w:rsid w:val="00184135"/>
    <w:rsid w:val="00185BC6"/>
    <w:rsid w:val="00193138"/>
    <w:rsid w:val="00194BFA"/>
    <w:rsid w:val="00194FB4"/>
    <w:rsid w:val="0019647F"/>
    <w:rsid w:val="001A1985"/>
    <w:rsid w:val="001A26E1"/>
    <w:rsid w:val="001A6239"/>
    <w:rsid w:val="001B036A"/>
    <w:rsid w:val="001B5156"/>
    <w:rsid w:val="001B696E"/>
    <w:rsid w:val="001B773C"/>
    <w:rsid w:val="001C10B1"/>
    <w:rsid w:val="001C1C55"/>
    <w:rsid w:val="001C2362"/>
    <w:rsid w:val="001C5E00"/>
    <w:rsid w:val="001D1CFE"/>
    <w:rsid w:val="001D4092"/>
    <w:rsid w:val="001D51F2"/>
    <w:rsid w:val="001E188A"/>
    <w:rsid w:val="001E1CC7"/>
    <w:rsid w:val="001E27C8"/>
    <w:rsid w:val="001E2B9F"/>
    <w:rsid w:val="001E3F3B"/>
    <w:rsid w:val="001E5EB0"/>
    <w:rsid w:val="001F5821"/>
    <w:rsid w:val="00201448"/>
    <w:rsid w:val="00204732"/>
    <w:rsid w:val="002055B8"/>
    <w:rsid w:val="002116C0"/>
    <w:rsid w:val="002117DB"/>
    <w:rsid w:val="0021518F"/>
    <w:rsid w:val="00221391"/>
    <w:rsid w:val="002227A9"/>
    <w:rsid w:val="00225055"/>
    <w:rsid w:val="0022673D"/>
    <w:rsid w:val="00226B18"/>
    <w:rsid w:val="002368DB"/>
    <w:rsid w:val="00241827"/>
    <w:rsid w:val="00244B38"/>
    <w:rsid w:val="00244B9A"/>
    <w:rsid w:val="00250A69"/>
    <w:rsid w:val="00253B99"/>
    <w:rsid w:val="00253C54"/>
    <w:rsid w:val="0025595E"/>
    <w:rsid w:val="00261C4C"/>
    <w:rsid w:val="0026695B"/>
    <w:rsid w:val="00266CD1"/>
    <w:rsid w:val="00271C0E"/>
    <w:rsid w:val="002732B4"/>
    <w:rsid w:val="0027569F"/>
    <w:rsid w:val="00277D03"/>
    <w:rsid w:val="00282642"/>
    <w:rsid w:val="00283A58"/>
    <w:rsid w:val="0028465C"/>
    <w:rsid w:val="00284DC9"/>
    <w:rsid w:val="00292801"/>
    <w:rsid w:val="002931C1"/>
    <w:rsid w:val="002939F8"/>
    <w:rsid w:val="00293B14"/>
    <w:rsid w:val="002A07DA"/>
    <w:rsid w:val="002A70E7"/>
    <w:rsid w:val="002B76A0"/>
    <w:rsid w:val="002C1194"/>
    <w:rsid w:val="002C3727"/>
    <w:rsid w:val="002C64F4"/>
    <w:rsid w:val="002D0B58"/>
    <w:rsid w:val="002D2F32"/>
    <w:rsid w:val="002D7E22"/>
    <w:rsid w:val="002E6D56"/>
    <w:rsid w:val="002F108B"/>
    <w:rsid w:val="002F3D01"/>
    <w:rsid w:val="002F5323"/>
    <w:rsid w:val="00300F16"/>
    <w:rsid w:val="00301876"/>
    <w:rsid w:val="00303CF8"/>
    <w:rsid w:val="00305682"/>
    <w:rsid w:val="00307755"/>
    <w:rsid w:val="00310EFF"/>
    <w:rsid w:val="003152B0"/>
    <w:rsid w:val="00321635"/>
    <w:rsid w:val="00321E9B"/>
    <w:rsid w:val="00333973"/>
    <w:rsid w:val="003341E9"/>
    <w:rsid w:val="003358A3"/>
    <w:rsid w:val="00336BD4"/>
    <w:rsid w:val="003371C8"/>
    <w:rsid w:val="00344BF3"/>
    <w:rsid w:val="0035090C"/>
    <w:rsid w:val="00350A2F"/>
    <w:rsid w:val="00357B34"/>
    <w:rsid w:val="003612FB"/>
    <w:rsid w:val="00363466"/>
    <w:rsid w:val="0036456E"/>
    <w:rsid w:val="00365A3B"/>
    <w:rsid w:val="00372A76"/>
    <w:rsid w:val="00372CCC"/>
    <w:rsid w:val="003746E1"/>
    <w:rsid w:val="0037488A"/>
    <w:rsid w:val="00381F53"/>
    <w:rsid w:val="0038351C"/>
    <w:rsid w:val="0038601D"/>
    <w:rsid w:val="003937A3"/>
    <w:rsid w:val="003A0136"/>
    <w:rsid w:val="003A10EE"/>
    <w:rsid w:val="003A1B55"/>
    <w:rsid w:val="003A50C3"/>
    <w:rsid w:val="003A5856"/>
    <w:rsid w:val="003A5DB6"/>
    <w:rsid w:val="003B11F0"/>
    <w:rsid w:val="003B1600"/>
    <w:rsid w:val="003C14F6"/>
    <w:rsid w:val="003C4319"/>
    <w:rsid w:val="003C4848"/>
    <w:rsid w:val="003C7860"/>
    <w:rsid w:val="003D0513"/>
    <w:rsid w:val="003D0FC5"/>
    <w:rsid w:val="003D22E4"/>
    <w:rsid w:val="003D29F6"/>
    <w:rsid w:val="003D6EB6"/>
    <w:rsid w:val="003E53DD"/>
    <w:rsid w:val="003F106B"/>
    <w:rsid w:val="003F3256"/>
    <w:rsid w:val="003F5D9D"/>
    <w:rsid w:val="00405D9E"/>
    <w:rsid w:val="00407BDF"/>
    <w:rsid w:val="00410E4D"/>
    <w:rsid w:val="004163A8"/>
    <w:rsid w:val="00416702"/>
    <w:rsid w:val="0042233A"/>
    <w:rsid w:val="00430B8F"/>
    <w:rsid w:val="00431340"/>
    <w:rsid w:val="00433320"/>
    <w:rsid w:val="00434856"/>
    <w:rsid w:val="004357C5"/>
    <w:rsid w:val="00442FCA"/>
    <w:rsid w:val="0045072D"/>
    <w:rsid w:val="00451D6D"/>
    <w:rsid w:val="00451DE5"/>
    <w:rsid w:val="00461E18"/>
    <w:rsid w:val="00463AAF"/>
    <w:rsid w:val="00465D6B"/>
    <w:rsid w:val="00466BC5"/>
    <w:rsid w:val="004713E1"/>
    <w:rsid w:val="00473E81"/>
    <w:rsid w:val="00473EAD"/>
    <w:rsid w:val="00474997"/>
    <w:rsid w:val="004761BC"/>
    <w:rsid w:val="00477033"/>
    <w:rsid w:val="004800CC"/>
    <w:rsid w:val="0048045E"/>
    <w:rsid w:val="00480AA6"/>
    <w:rsid w:val="00481ADD"/>
    <w:rsid w:val="00484E07"/>
    <w:rsid w:val="004934B2"/>
    <w:rsid w:val="00495031"/>
    <w:rsid w:val="004976A0"/>
    <w:rsid w:val="004A1E26"/>
    <w:rsid w:val="004A4143"/>
    <w:rsid w:val="004A4ECD"/>
    <w:rsid w:val="004B51F9"/>
    <w:rsid w:val="004B6A84"/>
    <w:rsid w:val="004C2831"/>
    <w:rsid w:val="004C5CC4"/>
    <w:rsid w:val="004C6B45"/>
    <w:rsid w:val="004D266B"/>
    <w:rsid w:val="004D31BA"/>
    <w:rsid w:val="004E159F"/>
    <w:rsid w:val="004E3846"/>
    <w:rsid w:val="004E7E48"/>
    <w:rsid w:val="004F3028"/>
    <w:rsid w:val="004F3CC8"/>
    <w:rsid w:val="005020A3"/>
    <w:rsid w:val="0050743D"/>
    <w:rsid w:val="00507699"/>
    <w:rsid w:val="00512E1B"/>
    <w:rsid w:val="005163D8"/>
    <w:rsid w:val="005167A5"/>
    <w:rsid w:val="00516D69"/>
    <w:rsid w:val="00516E13"/>
    <w:rsid w:val="00521161"/>
    <w:rsid w:val="00527926"/>
    <w:rsid w:val="0053074E"/>
    <w:rsid w:val="00532530"/>
    <w:rsid w:val="005326F1"/>
    <w:rsid w:val="00541CF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2FC3"/>
    <w:rsid w:val="00574651"/>
    <w:rsid w:val="00574F5B"/>
    <w:rsid w:val="005750DD"/>
    <w:rsid w:val="00577E4C"/>
    <w:rsid w:val="00586091"/>
    <w:rsid w:val="005964AD"/>
    <w:rsid w:val="00596DB6"/>
    <w:rsid w:val="005A1077"/>
    <w:rsid w:val="005A1E2E"/>
    <w:rsid w:val="005A216A"/>
    <w:rsid w:val="005A3D86"/>
    <w:rsid w:val="005A746E"/>
    <w:rsid w:val="005B1905"/>
    <w:rsid w:val="005B37EA"/>
    <w:rsid w:val="005B413B"/>
    <w:rsid w:val="005B7696"/>
    <w:rsid w:val="005B7C0A"/>
    <w:rsid w:val="005C3827"/>
    <w:rsid w:val="005D0DDD"/>
    <w:rsid w:val="005D3756"/>
    <w:rsid w:val="005E0A91"/>
    <w:rsid w:val="005F0782"/>
    <w:rsid w:val="005F2825"/>
    <w:rsid w:val="005F4403"/>
    <w:rsid w:val="005F49B6"/>
    <w:rsid w:val="005F68C7"/>
    <w:rsid w:val="0060200E"/>
    <w:rsid w:val="00604821"/>
    <w:rsid w:val="00607705"/>
    <w:rsid w:val="00610AA3"/>
    <w:rsid w:val="00614549"/>
    <w:rsid w:val="00614D44"/>
    <w:rsid w:val="00614EE8"/>
    <w:rsid w:val="006170CA"/>
    <w:rsid w:val="00622058"/>
    <w:rsid w:val="0062235A"/>
    <w:rsid w:val="006255FA"/>
    <w:rsid w:val="006343AD"/>
    <w:rsid w:val="00634E11"/>
    <w:rsid w:val="00635E94"/>
    <w:rsid w:val="006419FC"/>
    <w:rsid w:val="00644A27"/>
    <w:rsid w:val="00647088"/>
    <w:rsid w:val="00650673"/>
    <w:rsid w:val="006506F8"/>
    <w:rsid w:val="00650FC4"/>
    <w:rsid w:val="00653572"/>
    <w:rsid w:val="006606F0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75C67"/>
    <w:rsid w:val="006806F1"/>
    <w:rsid w:val="00686CD9"/>
    <w:rsid w:val="00691588"/>
    <w:rsid w:val="00692239"/>
    <w:rsid w:val="0069272F"/>
    <w:rsid w:val="00692E26"/>
    <w:rsid w:val="0069462E"/>
    <w:rsid w:val="006A067E"/>
    <w:rsid w:val="006A12B4"/>
    <w:rsid w:val="006A1319"/>
    <w:rsid w:val="006A46C1"/>
    <w:rsid w:val="006A72F1"/>
    <w:rsid w:val="006B0BE2"/>
    <w:rsid w:val="006B1577"/>
    <w:rsid w:val="006B2444"/>
    <w:rsid w:val="006B3B8D"/>
    <w:rsid w:val="006B79B7"/>
    <w:rsid w:val="006C1C85"/>
    <w:rsid w:val="006C2144"/>
    <w:rsid w:val="006C6BBB"/>
    <w:rsid w:val="006D3B6C"/>
    <w:rsid w:val="006D5766"/>
    <w:rsid w:val="006D6B5D"/>
    <w:rsid w:val="006F38CA"/>
    <w:rsid w:val="00703D37"/>
    <w:rsid w:val="00704643"/>
    <w:rsid w:val="007047EB"/>
    <w:rsid w:val="0070498C"/>
    <w:rsid w:val="0071060F"/>
    <w:rsid w:val="00714CAF"/>
    <w:rsid w:val="007160C1"/>
    <w:rsid w:val="007231E4"/>
    <w:rsid w:val="0072630B"/>
    <w:rsid w:val="00727D76"/>
    <w:rsid w:val="007331D7"/>
    <w:rsid w:val="00734BB2"/>
    <w:rsid w:val="00736BE5"/>
    <w:rsid w:val="00736F05"/>
    <w:rsid w:val="0074141B"/>
    <w:rsid w:val="00747432"/>
    <w:rsid w:val="00747E21"/>
    <w:rsid w:val="00752F1E"/>
    <w:rsid w:val="007539B1"/>
    <w:rsid w:val="00754DDD"/>
    <w:rsid w:val="00760CA8"/>
    <w:rsid w:val="00763480"/>
    <w:rsid w:val="00765BBC"/>
    <w:rsid w:val="00767C9C"/>
    <w:rsid w:val="007730C5"/>
    <w:rsid w:val="00773B90"/>
    <w:rsid w:val="00773EDF"/>
    <w:rsid w:val="00774439"/>
    <w:rsid w:val="00774984"/>
    <w:rsid w:val="0078479F"/>
    <w:rsid w:val="00785560"/>
    <w:rsid w:val="00792139"/>
    <w:rsid w:val="007A20B8"/>
    <w:rsid w:val="007A7878"/>
    <w:rsid w:val="007B227E"/>
    <w:rsid w:val="007B6156"/>
    <w:rsid w:val="007C1614"/>
    <w:rsid w:val="007C21BE"/>
    <w:rsid w:val="007C2E9F"/>
    <w:rsid w:val="007C390F"/>
    <w:rsid w:val="007C4793"/>
    <w:rsid w:val="007C5F03"/>
    <w:rsid w:val="007E205F"/>
    <w:rsid w:val="007E4F8A"/>
    <w:rsid w:val="007E5288"/>
    <w:rsid w:val="007E535D"/>
    <w:rsid w:val="007E68F6"/>
    <w:rsid w:val="007F070D"/>
    <w:rsid w:val="007F106E"/>
    <w:rsid w:val="007F1E2E"/>
    <w:rsid w:val="007F3B36"/>
    <w:rsid w:val="0080095D"/>
    <w:rsid w:val="00800FF3"/>
    <w:rsid w:val="008053DD"/>
    <w:rsid w:val="008056EA"/>
    <w:rsid w:val="0080596F"/>
    <w:rsid w:val="00805AA3"/>
    <w:rsid w:val="00807EAA"/>
    <w:rsid w:val="008116EE"/>
    <w:rsid w:val="00814157"/>
    <w:rsid w:val="00816A50"/>
    <w:rsid w:val="008213C0"/>
    <w:rsid w:val="00823E0E"/>
    <w:rsid w:val="00825726"/>
    <w:rsid w:val="00830071"/>
    <w:rsid w:val="00832A28"/>
    <w:rsid w:val="00834352"/>
    <w:rsid w:val="008374E0"/>
    <w:rsid w:val="00842D2E"/>
    <w:rsid w:val="00852230"/>
    <w:rsid w:val="0085312B"/>
    <w:rsid w:val="00853D5D"/>
    <w:rsid w:val="0086101D"/>
    <w:rsid w:val="008639B1"/>
    <w:rsid w:val="00864A22"/>
    <w:rsid w:val="008655EF"/>
    <w:rsid w:val="008679F1"/>
    <w:rsid w:val="00872021"/>
    <w:rsid w:val="00873555"/>
    <w:rsid w:val="00874BDD"/>
    <w:rsid w:val="00874CFA"/>
    <w:rsid w:val="00876535"/>
    <w:rsid w:val="008765D0"/>
    <w:rsid w:val="0088288A"/>
    <w:rsid w:val="00884615"/>
    <w:rsid w:val="008920F4"/>
    <w:rsid w:val="00896C00"/>
    <w:rsid w:val="008A0143"/>
    <w:rsid w:val="008A067F"/>
    <w:rsid w:val="008B41CB"/>
    <w:rsid w:val="008B4A0E"/>
    <w:rsid w:val="008B5839"/>
    <w:rsid w:val="008B6531"/>
    <w:rsid w:val="008B70C1"/>
    <w:rsid w:val="008C10EB"/>
    <w:rsid w:val="008C213F"/>
    <w:rsid w:val="008C333D"/>
    <w:rsid w:val="008C7A90"/>
    <w:rsid w:val="008C7EAC"/>
    <w:rsid w:val="008D128B"/>
    <w:rsid w:val="008D2FCA"/>
    <w:rsid w:val="008D70FB"/>
    <w:rsid w:val="008D7D5B"/>
    <w:rsid w:val="008D7F9B"/>
    <w:rsid w:val="008E2210"/>
    <w:rsid w:val="008E2841"/>
    <w:rsid w:val="008E3292"/>
    <w:rsid w:val="008E537D"/>
    <w:rsid w:val="008E6436"/>
    <w:rsid w:val="008F1CB6"/>
    <w:rsid w:val="008F5673"/>
    <w:rsid w:val="008F6881"/>
    <w:rsid w:val="009104AA"/>
    <w:rsid w:val="00910812"/>
    <w:rsid w:val="00914AD7"/>
    <w:rsid w:val="00922297"/>
    <w:rsid w:val="00926034"/>
    <w:rsid w:val="009318A6"/>
    <w:rsid w:val="009400C6"/>
    <w:rsid w:val="009412A4"/>
    <w:rsid w:val="009416D3"/>
    <w:rsid w:val="00941A5C"/>
    <w:rsid w:val="009429A7"/>
    <w:rsid w:val="00945368"/>
    <w:rsid w:val="00945D39"/>
    <w:rsid w:val="00947CE7"/>
    <w:rsid w:val="00950E82"/>
    <w:rsid w:val="00953846"/>
    <w:rsid w:val="00956EAD"/>
    <w:rsid w:val="009579D7"/>
    <w:rsid w:val="00961EDB"/>
    <w:rsid w:val="00962292"/>
    <w:rsid w:val="00964F1C"/>
    <w:rsid w:val="0096566C"/>
    <w:rsid w:val="00972024"/>
    <w:rsid w:val="0097710D"/>
    <w:rsid w:val="009810BA"/>
    <w:rsid w:val="0098455C"/>
    <w:rsid w:val="009850D6"/>
    <w:rsid w:val="00987A5F"/>
    <w:rsid w:val="0099101D"/>
    <w:rsid w:val="00993700"/>
    <w:rsid w:val="00993BDF"/>
    <w:rsid w:val="009943E1"/>
    <w:rsid w:val="009A08D6"/>
    <w:rsid w:val="009A4259"/>
    <w:rsid w:val="009A4BCA"/>
    <w:rsid w:val="009A5201"/>
    <w:rsid w:val="009B0FDA"/>
    <w:rsid w:val="009C2A61"/>
    <w:rsid w:val="009C2B63"/>
    <w:rsid w:val="009C572E"/>
    <w:rsid w:val="009C5B77"/>
    <w:rsid w:val="009C7E87"/>
    <w:rsid w:val="009D0FB6"/>
    <w:rsid w:val="009D1D4D"/>
    <w:rsid w:val="009D2528"/>
    <w:rsid w:val="009D4E1B"/>
    <w:rsid w:val="009D55CA"/>
    <w:rsid w:val="009D687F"/>
    <w:rsid w:val="009E2DE8"/>
    <w:rsid w:val="009E5F6F"/>
    <w:rsid w:val="009E6EEB"/>
    <w:rsid w:val="009E7452"/>
    <w:rsid w:val="009F5AB7"/>
    <w:rsid w:val="009F5CE6"/>
    <w:rsid w:val="009F6BA1"/>
    <w:rsid w:val="00A009E2"/>
    <w:rsid w:val="00A032E8"/>
    <w:rsid w:val="00A13F83"/>
    <w:rsid w:val="00A15138"/>
    <w:rsid w:val="00A151FA"/>
    <w:rsid w:val="00A16AD0"/>
    <w:rsid w:val="00A16B2A"/>
    <w:rsid w:val="00A229F8"/>
    <w:rsid w:val="00A27DBD"/>
    <w:rsid w:val="00A32C21"/>
    <w:rsid w:val="00A411F0"/>
    <w:rsid w:val="00A44B91"/>
    <w:rsid w:val="00A51D41"/>
    <w:rsid w:val="00A5564F"/>
    <w:rsid w:val="00A56DC9"/>
    <w:rsid w:val="00A62F79"/>
    <w:rsid w:val="00A65638"/>
    <w:rsid w:val="00A65AA3"/>
    <w:rsid w:val="00A709F5"/>
    <w:rsid w:val="00A72905"/>
    <w:rsid w:val="00A757FD"/>
    <w:rsid w:val="00A80764"/>
    <w:rsid w:val="00A8136B"/>
    <w:rsid w:val="00A82B5F"/>
    <w:rsid w:val="00A854C0"/>
    <w:rsid w:val="00A8585B"/>
    <w:rsid w:val="00A864BF"/>
    <w:rsid w:val="00A9480F"/>
    <w:rsid w:val="00A949C5"/>
    <w:rsid w:val="00AA02BC"/>
    <w:rsid w:val="00AA1869"/>
    <w:rsid w:val="00AA6B10"/>
    <w:rsid w:val="00AA6D65"/>
    <w:rsid w:val="00AB13D6"/>
    <w:rsid w:val="00AB20ED"/>
    <w:rsid w:val="00AB7116"/>
    <w:rsid w:val="00AC08A0"/>
    <w:rsid w:val="00AC2E1C"/>
    <w:rsid w:val="00AC4655"/>
    <w:rsid w:val="00AD0C0E"/>
    <w:rsid w:val="00AD25BD"/>
    <w:rsid w:val="00AD309C"/>
    <w:rsid w:val="00AD7150"/>
    <w:rsid w:val="00AE6B01"/>
    <w:rsid w:val="00AF0C81"/>
    <w:rsid w:val="00AF27ED"/>
    <w:rsid w:val="00AF619E"/>
    <w:rsid w:val="00AF7790"/>
    <w:rsid w:val="00AF7F5F"/>
    <w:rsid w:val="00B008BC"/>
    <w:rsid w:val="00B04D59"/>
    <w:rsid w:val="00B05A8A"/>
    <w:rsid w:val="00B07D44"/>
    <w:rsid w:val="00B15B92"/>
    <w:rsid w:val="00B17589"/>
    <w:rsid w:val="00B17DBA"/>
    <w:rsid w:val="00B249A1"/>
    <w:rsid w:val="00B27640"/>
    <w:rsid w:val="00B31A8A"/>
    <w:rsid w:val="00B3240D"/>
    <w:rsid w:val="00B34FFE"/>
    <w:rsid w:val="00B428AB"/>
    <w:rsid w:val="00B43438"/>
    <w:rsid w:val="00B4502C"/>
    <w:rsid w:val="00B5232B"/>
    <w:rsid w:val="00B67E8A"/>
    <w:rsid w:val="00B7138E"/>
    <w:rsid w:val="00B723A2"/>
    <w:rsid w:val="00B7374D"/>
    <w:rsid w:val="00B73E91"/>
    <w:rsid w:val="00B77E2D"/>
    <w:rsid w:val="00B80ECC"/>
    <w:rsid w:val="00B820D9"/>
    <w:rsid w:val="00B83842"/>
    <w:rsid w:val="00B906C8"/>
    <w:rsid w:val="00B90A64"/>
    <w:rsid w:val="00B92B66"/>
    <w:rsid w:val="00B92F87"/>
    <w:rsid w:val="00B94D53"/>
    <w:rsid w:val="00B957A5"/>
    <w:rsid w:val="00B9642A"/>
    <w:rsid w:val="00B96911"/>
    <w:rsid w:val="00B9790B"/>
    <w:rsid w:val="00B9791B"/>
    <w:rsid w:val="00BA0CD4"/>
    <w:rsid w:val="00BA130A"/>
    <w:rsid w:val="00BA66D5"/>
    <w:rsid w:val="00BB4DAE"/>
    <w:rsid w:val="00BB6735"/>
    <w:rsid w:val="00BC0644"/>
    <w:rsid w:val="00BC328F"/>
    <w:rsid w:val="00BC5204"/>
    <w:rsid w:val="00BD0B41"/>
    <w:rsid w:val="00BD1B15"/>
    <w:rsid w:val="00BD5F71"/>
    <w:rsid w:val="00BD7817"/>
    <w:rsid w:val="00BD78E9"/>
    <w:rsid w:val="00BD7B89"/>
    <w:rsid w:val="00BE0BD0"/>
    <w:rsid w:val="00BE0F2A"/>
    <w:rsid w:val="00BE5FC9"/>
    <w:rsid w:val="00BE61DC"/>
    <w:rsid w:val="00BF252A"/>
    <w:rsid w:val="00BF5024"/>
    <w:rsid w:val="00BF57A3"/>
    <w:rsid w:val="00BF7D12"/>
    <w:rsid w:val="00BF7ED3"/>
    <w:rsid w:val="00C00344"/>
    <w:rsid w:val="00C07F7F"/>
    <w:rsid w:val="00C1018B"/>
    <w:rsid w:val="00C10444"/>
    <w:rsid w:val="00C15483"/>
    <w:rsid w:val="00C173E8"/>
    <w:rsid w:val="00C200CB"/>
    <w:rsid w:val="00C223F7"/>
    <w:rsid w:val="00C31C61"/>
    <w:rsid w:val="00C34E42"/>
    <w:rsid w:val="00C43D4E"/>
    <w:rsid w:val="00C4584C"/>
    <w:rsid w:val="00C46686"/>
    <w:rsid w:val="00C51F63"/>
    <w:rsid w:val="00C55745"/>
    <w:rsid w:val="00C65A8A"/>
    <w:rsid w:val="00C67649"/>
    <w:rsid w:val="00C717DE"/>
    <w:rsid w:val="00C72D0D"/>
    <w:rsid w:val="00C73077"/>
    <w:rsid w:val="00C73C4D"/>
    <w:rsid w:val="00C75EAB"/>
    <w:rsid w:val="00C75FE4"/>
    <w:rsid w:val="00C77B6E"/>
    <w:rsid w:val="00C77CE0"/>
    <w:rsid w:val="00C81727"/>
    <w:rsid w:val="00C87802"/>
    <w:rsid w:val="00C917A6"/>
    <w:rsid w:val="00C92528"/>
    <w:rsid w:val="00C92BB5"/>
    <w:rsid w:val="00C93978"/>
    <w:rsid w:val="00C942F9"/>
    <w:rsid w:val="00C976AC"/>
    <w:rsid w:val="00CA5447"/>
    <w:rsid w:val="00CA653B"/>
    <w:rsid w:val="00CA6772"/>
    <w:rsid w:val="00CB07FB"/>
    <w:rsid w:val="00CB1121"/>
    <w:rsid w:val="00CB54B0"/>
    <w:rsid w:val="00CB6D05"/>
    <w:rsid w:val="00CC0063"/>
    <w:rsid w:val="00CC02BF"/>
    <w:rsid w:val="00CC0616"/>
    <w:rsid w:val="00CC238A"/>
    <w:rsid w:val="00CC44A8"/>
    <w:rsid w:val="00CD23A2"/>
    <w:rsid w:val="00CD436E"/>
    <w:rsid w:val="00CE4338"/>
    <w:rsid w:val="00CE6C4D"/>
    <w:rsid w:val="00CF4631"/>
    <w:rsid w:val="00CF5488"/>
    <w:rsid w:val="00D0036D"/>
    <w:rsid w:val="00D00972"/>
    <w:rsid w:val="00D02237"/>
    <w:rsid w:val="00D02360"/>
    <w:rsid w:val="00D0518C"/>
    <w:rsid w:val="00D07288"/>
    <w:rsid w:val="00D07EB6"/>
    <w:rsid w:val="00D23FE0"/>
    <w:rsid w:val="00D26B8F"/>
    <w:rsid w:val="00D33AAA"/>
    <w:rsid w:val="00D341E3"/>
    <w:rsid w:val="00D34DB9"/>
    <w:rsid w:val="00D350E5"/>
    <w:rsid w:val="00D42983"/>
    <w:rsid w:val="00D46CB2"/>
    <w:rsid w:val="00D56715"/>
    <w:rsid w:val="00D62F26"/>
    <w:rsid w:val="00D72DF5"/>
    <w:rsid w:val="00D732FC"/>
    <w:rsid w:val="00D7653E"/>
    <w:rsid w:val="00D82C7C"/>
    <w:rsid w:val="00D839D0"/>
    <w:rsid w:val="00D8507C"/>
    <w:rsid w:val="00D87BFD"/>
    <w:rsid w:val="00D90A8B"/>
    <w:rsid w:val="00D95E99"/>
    <w:rsid w:val="00DA5DDA"/>
    <w:rsid w:val="00DA5DFC"/>
    <w:rsid w:val="00DB2FE2"/>
    <w:rsid w:val="00DB478F"/>
    <w:rsid w:val="00DB5A71"/>
    <w:rsid w:val="00DC2D97"/>
    <w:rsid w:val="00DC5D93"/>
    <w:rsid w:val="00DC768F"/>
    <w:rsid w:val="00DD2F79"/>
    <w:rsid w:val="00DD4374"/>
    <w:rsid w:val="00DD4E4F"/>
    <w:rsid w:val="00DE0292"/>
    <w:rsid w:val="00DE0E27"/>
    <w:rsid w:val="00DE14D1"/>
    <w:rsid w:val="00DE2237"/>
    <w:rsid w:val="00DE2AD2"/>
    <w:rsid w:val="00DE4629"/>
    <w:rsid w:val="00DF204F"/>
    <w:rsid w:val="00DF3D6A"/>
    <w:rsid w:val="00DF5755"/>
    <w:rsid w:val="00DF5D86"/>
    <w:rsid w:val="00DF64E1"/>
    <w:rsid w:val="00E00EA0"/>
    <w:rsid w:val="00E041F2"/>
    <w:rsid w:val="00E05EEF"/>
    <w:rsid w:val="00E12F82"/>
    <w:rsid w:val="00E16B9C"/>
    <w:rsid w:val="00E3278D"/>
    <w:rsid w:val="00E35389"/>
    <w:rsid w:val="00E41510"/>
    <w:rsid w:val="00E471B6"/>
    <w:rsid w:val="00E53153"/>
    <w:rsid w:val="00E54B9A"/>
    <w:rsid w:val="00E55AF6"/>
    <w:rsid w:val="00E5754D"/>
    <w:rsid w:val="00E5786F"/>
    <w:rsid w:val="00E600D7"/>
    <w:rsid w:val="00E6205A"/>
    <w:rsid w:val="00E62C8C"/>
    <w:rsid w:val="00E73642"/>
    <w:rsid w:val="00E87ADB"/>
    <w:rsid w:val="00E90C6C"/>
    <w:rsid w:val="00E96C3C"/>
    <w:rsid w:val="00E96C6A"/>
    <w:rsid w:val="00E9799C"/>
    <w:rsid w:val="00EA1A5B"/>
    <w:rsid w:val="00EA30EB"/>
    <w:rsid w:val="00EA3D8A"/>
    <w:rsid w:val="00EA60D0"/>
    <w:rsid w:val="00EA7CEC"/>
    <w:rsid w:val="00EB39DE"/>
    <w:rsid w:val="00EB4040"/>
    <w:rsid w:val="00EB652F"/>
    <w:rsid w:val="00EB73F6"/>
    <w:rsid w:val="00EC3FBB"/>
    <w:rsid w:val="00EC4E87"/>
    <w:rsid w:val="00EC5C68"/>
    <w:rsid w:val="00EC64E4"/>
    <w:rsid w:val="00ED01E9"/>
    <w:rsid w:val="00ED1C21"/>
    <w:rsid w:val="00ED4685"/>
    <w:rsid w:val="00ED6433"/>
    <w:rsid w:val="00EE264D"/>
    <w:rsid w:val="00EE5877"/>
    <w:rsid w:val="00EE5BAA"/>
    <w:rsid w:val="00EE6A6C"/>
    <w:rsid w:val="00EF4103"/>
    <w:rsid w:val="00F02378"/>
    <w:rsid w:val="00F0385E"/>
    <w:rsid w:val="00F04174"/>
    <w:rsid w:val="00F05046"/>
    <w:rsid w:val="00F108BC"/>
    <w:rsid w:val="00F12C86"/>
    <w:rsid w:val="00F15035"/>
    <w:rsid w:val="00F160E6"/>
    <w:rsid w:val="00F16EDF"/>
    <w:rsid w:val="00F172F2"/>
    <w:rsid w:val="00F17AD2"/>
    <w:rsid w:val="00F221F1"/>
    <w:rsid w:val="00F25937"/>
    <w:rsid w:val="00F26615"/>
    <w:rsid w:val="00F31178"/>
    <w:rsid w:val="00F40B9A"/>
    <w:rsid w:val="00F41FA0"/>
    <w:rsid w:val="00F42672"/>
    <w:rsid w:val="00F42A6C"/>
    <w:rsid w:val="00F55902"/>
    <w:rsid w:val="00F55B00"/>
    <w:rsid w:val="00F55E9E"/>
    <w:rsid w:val="00F6450D"/>
    <w:rsid w:val="00F6532A"/>
    <w:rsid w:val="00F71EEB"/>
    <w:rsid w:val="00F81B34"/>
    <w:rsid w:val="00F84335"/>
    <w:rsid w:val="00F84B3E"/>
    <w:rsid w:val="00F8559E"/>
    <w:rsid w:val="00F90A89"/>
    <w:rsid w:val="00F920DA"/>
    <w:rsid w:val="00F96176"/>
    <w:rsid w:val="00FA3BD9"/>
    <w:rsid w:val="00FA3D46"/>
    <w:rsid w:val="00FA495A"/>
    <w:rsid w:val="00FB36DB"/>
    <w:rsid w:val="00FB47BE"/>
    <w:rsid w:val="00FB53D8"/>
    <w:rsid w:val="00FB6946"/>
    <w:rsid w:val="00FB6E19"/>
    <w:rsid w:val="00FB74BD"/>
    <w:rsid w:val="00FC256B"/>
    <w:rsid w:val="00FD1BB8"/>
    <w:rsid w:val="00FD36F3"/>
    <w:rsid w:val="00FD5A17"/>
    <w:rsid w:val="00FD6014"/>
    <w:rsid w:val="00FD7B1E"/>
    <w:rsid w:val="00FE1529"/>
    <w:rsid w:val="00FE3606"/>
    <w:rsid w:val="00FE629B"/>
    <w:rsid w:val="00FE7149"/>
    <w:rsid w:val="00FF6415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C75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  <w:style w:type="paragraph" w:customStyle="1" w:styleId="cel1">
    <w:name w:val="cel 1"/>
    <w:basedOn w:val="Normalny"/>
    <w:uiPriority w:val="99"/>
    <w:rsid w:val="00357B34"/>
    <w:pPr>
      <w:tabs>
        <w:tab w:val="left" w:pos="1134"/>
      </w:tabs>
      <w:suppressAutoHyphens/>
      <w:spacing w:before="120" w:after="120" w:line="240" w:lineRule="auto"/>
      <w:ind w:left="1134" w:hanging="1134"/>
      <w:jc w:val="both"/>
    </w:pPr>
    <w:rPr>
      <w:rFonts w:ascii="Times New Roman" w:eastAsia="Times New Roman" w:hAnsi="Times New Roman" w:cs="Times New Roman"/>
      <w:b/>
      <w:smallCap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dokumenty/ocena-nie-czyn-powaznych-szkod-do-no-significant-harm-dnsh-dla-typow-projektow-ujetych-w-programie-fundusze-europejskie-dla-podlaski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3980</Words>
  <Characters>23884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Żukowski Daniel</cp:lastModifiedBy>
  <cp:revision>9</cp:revision>
  <cp:lastPrinted>2025-01-21T08:59:00Z</cp:lastPrinted>
  <dcterms:created xsi:type="dcterms:W3CDTF">2025-09-26T12:06:00Z</dcterms:created>
  <dcterms:modified xsi:type="dcterms:W3CDTF">2026-04-01T05:39:00Z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