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28D2" w14:textId="46F3D386" w:rsidR="004F6465" w:rsidRPr="003B3B22" w:rsidRDefault="00C74406" w:rsidP="00F81015">
      <w:pPr>
        <w:pStyle w:val="Podtytu"/>
        <w:spacing w:before="120" w:after="120"/>
        <w:jc w:val="left"/>
        <w:rPr>
          <w:b w:val="0"/>
          <w:sz w:val="24"/>
        </w:rPr>
      </w:pPr>
      <w:r w:rsidRPr="003B3B22">
        <w:rPr>
          <w:b w:val="0"/>
          <w:sz w:val="24"/>
        </w:rPr>
        <w:t>Załącznik III.1.</w:t>
      </w:r>
      <w:r w:rsidR="002B389E">
        <w:rPr>
          <w:b w:val="0"/>
          <w:sz w:val="24"/>
        </w:rPr>
        <w:t>4</w:t>
      </w:r>
      <w:r w:rsidRPr="003B3B22">
        <w:rPr>
          <w:b w:val="0"/>
          <w:sz w:val="24"/>
        </w:rPr>
        <w:t xml:space="preserve"> Wzór umowy o dofinansowanie projektu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341981D7"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 </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2248FA67" w:rsidR="0050422B" w:rsidRPr="003B3B22" w:rsidRDefault="00C74406" w:rsidP="00B40CFC">
      <w:pPr>
        <w:spacing w:before="240" w:line="276" w:lineRule="auto"/>
        <w:jc w:val="center"/>
        <w:rPr>
          <w:b/>
        </w:rPr>
      </w:pPr>
      <w:r w:rsidRPr="003B3B22">
        <w:rPr>
          <w:b/>
        </w:rPr>
        <w:t>Działania …………………………………………………………….………</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74697F00" w14:textId="52C9BA4C" w:rsidR="0050422B" w:rsidRPr="003B3B22" w:rsidRDefault="00C74406" w:rsidP="00F81015">
      <w:pPr>
        <w:widowControl w:val="0"/>
        <w:spacing w:before="120" w:after="120"/>
        <w:jc w:val="both"/>
        <w:rPr>
          <w:bCs/>
        </w:rPr>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Pr="003B3B22">
        <w:t>, 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rsidP="00E03ED6">
      <w:pPr>
        <w:numPr>
          <w:ilvl w:val="0"/>
          <w:numId w:val="18"/>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498D75D0" w14:textId="1FF7E4EB" w:rsidR="00CC2596" w:rsidRDefault="00C74406" w:rsidP="002D68DC">
      <w:pPr>
        <w:numPr>
          <w:ilvl w:val="0"/>
          <w:numId w:val="18"/>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59CC575C" w:rsidR="007F7AD2" w:rsidRDefault="00CC2596" w:rsidP="00E03ED6">
      <w:pPr>
        <w:pStyle w:val="Akapitzlist"/>
        <w:numPr>
          <w:ilvl w:val="0"/>
          <w:numId w:val="126"/>
        </w:numPr>
        <w:jc w:val="both"/>
      </w:pPr>
      <w:r w:rsidRPr="002D68DC">
        <w:rPr>
          <w:b/>
          <w:bCs/>
        </w:rPr>
        <w:t>„rozporządzenia nr 651/2014”</w:t>
      </w:r>
      <w:r>
        <w:t xml:space="preserve"> – </w:t>
      </w:r>
      <w:r w:rsidR="001C5F15">
        <w:t>R</w:t>
      </w:r>
      <w:r>
        <w:t>ozporządzenia Komisji (UE) nr 651/2014 z dnia</w:t>
      </w:r>
      <w:r>
        <w:br/>
        <w:t>17 czerwca 2014 r. uznającego niektóre rodzaje pomocy za zgodne z rynkiem wewnętrznym w zastosowaniu art. 107 i 108 Traktatu;</w:t>
      </w:r>
    </w:p>
    <w:p w14:paraId="5B75A533" w14:textId="7673C1A3" w:rsidR="0000115C" w:rsidRPr="00307561" w:rsidRDefault="0000115C" w:rsidP="0000115C">
      <w:pPr>
        <w:pStyle w:val="Akapitzlist"/>
        <w:numPr>
          <w:ilvl w:val="0"/>
          <w:numId w:val="126"/>
        </w:numPr>
        <w:spacing w:after="144"/>
        <w:jc w:val="both"/>
      </w:pPr>
      <w:r w:rsidRPr="00307561">
        <w:rPr>
          <w:b/>
          <w:bCs/>
        </w:rPr>
        <w:t xml:space="preserve">„rozporządzenia nr </w:t>
      </w:r>
      <w:r>
        <w:rPr>
          <w:b/>
          <w:bCs/>
        </w:rPr>
        <w:t>………………</w:t>
      </w:r>
      <w:r w:rsidRPr="00307561">
        <w:rPr>
          <w:b/>
          <w:bCs/>
        </w:rPr>
        <w:t>”</w:t>
      </w:r>
      <w:r w:rsidRPr="00307561">
        <w:t xml:space="preserve"> – </w:t>
      </w:r>
      <w:r w:rsidRPr="006E53E1">
        <w:t>Rozporządzenia Komisji (UE) nr ………… z dnia</w:t>
      </w:r>
      <w:r w:rsidR="00150AC2" w:rsidRPr="006E53E1">
        <w:t xml:space="preserve"> </w:t>
      </w:r>
      <w:r w:rsidRPr="006E53E1">
        <w:t xml:space="preserve">………………… r. w sprawie stosowania art. 107 i 108 Traktatu o funkcjonowaniu Unii Europejskiej do pomocy de </w:t>
      </w:r>
      <w:proofErr w:type="spellStart"/>
      <w:r w:rsidRPr="006E53E1">
        <w:t>minimis</w:t>
      </w:r>
      <w:proofErr w:type="spellEnd"/>
      <w:r w:rsidRPr="006E53E1">
        <w:t xml:space="preserve">, zwanym dalej Rozporządzeniem de </w:t>
      </w:r>
      <w:proofErr w:type="spellStart"/>
      <w:r w:rsidRPr="006E53E1">
        <w:t>minimis</w:t>
      </w:r>
      <w:proofErr w:type="spellEnd"/>
      <w:r w:rsidRPr="006E53E1">
        <w:t>;</w:t>
      </w:r>
      <w:r w:rsidRPr="00307561">
        <w:t xml:space="preserve"> </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24D92">
      <w:pPr>
        <w:pStyle w:val="Akapitzlist"/>
        <w:numPr>
          <w:ilvl w:val="0"/>
          <w:numId w:val="18"/>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24D92">
      <w:pPr>
        <w:pStyle w:val="Akapitzlist"/>
        <w:numPr>
          <w:ilvl w:val="0"/>
          <w:numId w:val="18"/>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24D92">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Pr="003B3B22"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 xml:space="preserve">projektów pomocy technicznej i projektów </w:t>
      </w:r>
      <w:proofErr w:type="spellStart"/>
      <w:r w:rsidR="00E94B5E">
        <w:t>Interreg</w:t>
      </w:r>
      <w:proofErr w:type="spellEnd"/>
      <w:r w:rsidR="00E94B5E">
        <w:t>;</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lastRenderedPageBreak/>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lastRenderedPageBreak/>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548EAFD5"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oraz kryteriów wyboru projektów.</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4D85C02" w14:textId="77777777" w:rsidR="00481A10" w:rsidRDefault="00C74406">
      <w:pPr>
        <w:pStyle w:val="Akapitzlist"/>
        <w:numPr>
          <w:ilvl w:val="0"/>
          <w:numId w:val="6"/>
        </w:numPr>
        <w:spacing w:before="120" w:after="120"/>
        <w:jc w:val="both"/>
      </w:pPr>
      <w:r w:rsidRPr="003B3B22">
        <w:t xml:space="preserve">Dla </w:t>
      </w:r>
      <w:r w:rsidR="00BF40B4">
        <w:t>P</w:t>
      </w:r>
      <w:r w:rsidRPr="003B3B22">
        <w:t>rojektu</w:t>
      </w:r>
      <w:r w:rsidR="005151DA">
        <w:t>, w ramach którego będzie finansowana infrastruktura badawcza ze środków publicznych</w:t>
      </w:r>
      <w:r w:rsidR="005151DA" w:rsidRPr="003B3B22">
        <w:t xml:space="preserve">, </w:t>
      </w:r>
      <w:r w:rsidRPr="003B3B22">
        <w:t xml:space="preserve">zastosowanie ma mechanizm monitorowania i wycofania (w rozumieniu art. 26 ust. 7 </w:t>
      </w:r>
      <w:r w:rsidR="006417DB" w:rsidRPr="00330EDD">
        <w:rPr>
          <w:iCs/>
        </w:rPr>
        <w:t>rozporządzenia 651/2014</w:t>
      </w:r>
      <w:r w:rsidRPr="003B3B22">
        <w:t>). Sposób oraz kryteria monitorowania wykorzystania gospodarczego i</w:t>
      </w:r>
      <w:r w:rsidR="008169DC">
        <w:t> </w:t>
      </w:r>
      <w:r w:rsidRPr="003B3B22">
        <w:t xml:space="preserve">niegospodarczego infrastruktury badawczej powstałej w ramach Projektu określa </w:t>
      </w:r>
      <w:r w:rsidRPr="003B3B22">
        <w:rPr>
          <w:i/>
        </w:rPr>
        <w:t xml:space="preserve">Mechanizm monitorowania i wycofania w przypadku finansowania infrastruktury badawczej ze środków publicznych, </w:t>
      </w:r>
      <w:r w:rsidRPr="00673E38">
        <w:t xml:space="preserve">stanowiący </w:t>
      </w:r>
      <w:r w:rsidRPr="00E03ED6">
        <w:t xml:space="preserve">załącznik nr </w:t>
      </w:r>
      <w:r w:rsidR="00B24FE2" w:rsidRPr="00E03ED6">
        <w:t>4</w:t>
      </w:r>
      <w:r w:rsidR="005D531D" w:rsidRPr="00673E38">
        <w:t xml:space="preserve"> </w:t>
      </w:r>
      <w:r w:rsidRPr="00673E38">
        <w:t>do Umowy</w:t>
      </w:r>
      <w:r w:rsidRPr="00BF10B0">
        <w:t>.</w:t>
      </w:r>
      <w:r w:rsidRPr="003B3B22">
        <w:t xml:space="preserve"> </w:t>
      </w:r>
      <w:r w:rsidR="006064DE">
        <w:t>F</w:t>
      </w:r>
      <w:r w:rsidRPr="003B3B22">
        <w:t xml:space="preserve">inansowanie UE, o którym mowa </w:t>
      </w:r>
      <w:r w:rsidRPr="005151DA">
        <w:t xml:space="preserve">w ust. </w:t>
      </w:r>
      <w:r w:rsidR="00520685" w:rsidRPr="005151DA">
        <w:t>5</w:t>
      </w:r>
      <w:r w:rsidRPr="005151DA">
        <w:t xml:space="preserve"> pkt 1,</w:t>
      </w:r>
      <w:r w:rsidRPr="003B3B22">
        <w:t xml:space="preserve"> będzie podlegało pomniejszeniu zgodnie z metodologią określoną w załączniku, o którym mowa w zdaniu poprzednim.</w:t>
      </w:r>
    </w:p>
    <w:p w14:paraId="186A8A98" w14:textId="09A92AE1" w:rsidR="00481A10" w:rsidRDefault="00481A10" w:rsidP="00481A10">
      <w:pPr>
        <w:pStyle w:val="Akapitzlist"/>
        <w:spacing w:before="120" w:after="120"/>
        <w:ind w:left="357"/>
        <w:jc w:val="both"/>
      </w:pPr>
      <w:r w:rsidRPr="00481A10">
        <w:t>Pomniejszenie finansowania UE, o którym mowa w niniejszym ustępie, nie jest traktowane jako nieprawidłowość</w:t>
      </w:r>
      <w:r w:rsidR="0010686A">
        <w:t>, z zastrzeżeniem ust. 16.</w:t>
      </w:r>
    </w:p>
    <w:p w14:paraId="13AA9835" w14:textId="77777777"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t xml:space="preserve">z wyłączeniem wsparcia, o którym mowa </w:t>
      </w:r>
      <w:r w:rsidRPr="00E03ED6">
        <w:t>w ust. 11,</w:t>
      </w:r>
      <w:r>
        <w:t xml:space="preserve"> </w:t>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39DE9D8E" w:rsidR="00481A10" w:rsidRDefault="00481A10" w:rsidP="00481A10">
      <w:pPr>
        <w:pStyle w:val="Akapitzlist"/>
        <w:spacing w:before="120" w:after="120"/>
        <w:ind w:left="357"/>
        <w:jc w:val="both"/>
      </w:pPr>
      <w:r w:rsidRPr="003B3B22">
        <w:lastRenderedPageBreak/>
        <w:t>Pomniejszenie finansowania UE, o którym mowa w niniejszym ustępie, nie jest traktowane jako nieprawidłowość</w:t>
      </w:r>
      <w:r w:rsidR="0010686A">
        <w:t>, z zastrzeżeniem ust. 16.</w:t>
      </w:r>
    </w:p>
    <w:p w14:paraId="1603F41C" w14:textId="77777777" w:rsidR="0010686A" w:rsidRDefault="0010686A" w:rsidP="0010686A">
      <w:pPr>
        <w:pStyle w:val="Akapitzlist"/>
        <w:numPr>
          <w:ilvl w:val="0"/>
          <w:numId w:val="6"/>
        </w:numPr>
        <w:spacing w:before="120" w:after="120"/>
        <w:jc w:val="both"/>
      </w:pPr>
      <w:r>
        <w:t xml:space="preserve">W przypadku projektów </w:t>
      </w:r>
      <w:r w:rsidRPr="00DD057D">
        <w:t xml:space="preserve">w zakresie finansowania infrastruktury wykorzystywanej </w:t>
      </w:r>
      <w:r>
        <w:t xml:space="preserve">na cele prowadzenia działalności gospodarczej o charakterze pomocniczym (dotyczy instalacji OZE nieobjętej pomocą publiczną/de </w:t>
      </w:r>
      <w:proofErr w:type="spellStart"/>
      <w:r>
        <w:t>minimis</w:t>
      </w:r>
      <w:proofErr w:type="spellEnd"/>
      <w:r>
        <w:t xml:space="preserve"> dla naborów dedykowanych OZE lub jeśli instalacja OZE jest elementem uzupełniającym) </w:t>
      </w:r>
      <w:r w:rsidRPr="00DD057D">
        <w:t>zastosowanie ma mechanizm monitorowania i wycofania</w:t>
      </w:r>
      <w:r>
        <w:t xml:space="preserve"> (zgodnie z Pkt 207 Komunikatu Komisji, Zawiadomienie Komisji w sprawie pojęcia pomocy państwa w rozumieniu art. 107 ust. 1 TFUE (2016/C 262/01)). Sposób oraz kryteria monitorowania wykorzystania gospodarczego i niegospodarczego infrastruktury powstałej w ramach Projektu określa </w:t>
      </w:r>
      <w:r w:rsidRPr="00DA6ABB">
        <w:rPr>
          <w:i/>
          <w:iCs/>
        </w:rPr>
        <w:t>Mechanizm monitorowania i wycofania w przypadku wykorzystania infrastruktury na cele prowadzenia działalności gospodarczej o charakterze pomocniczym</w:t>
      </w:r>
      <w:r w:rsidRPr="001A2475">
        <w:rPr>
          <w:i/>
          <w:iCs/>
        </w:rPr>
        <w:t xml:space="preserve"> </w:t>
      </w:r>
      <w:r w:rsidRPr="00DA6ABB">
        <w:rPr>
          <w:i/>
          <w:iCs/>
        </w:rPr>
        <w:t xml:space="preserve"> (dotyczy instalacji OZE nieobjętej pomocą publiczną/de </w:t>
      </w:r>
      <w:proofErr w:type="spellStart"/>
      <w:r w:rsidRPr="00DA6ABB">
        <w:rPr>
          <w:i/>
          <w:iCs/>
        </w:rPr>
        <w:t>minimis</w:t>
      </w:r>
      <w:proofErr w:type="spellEnd"/>
      <w:r w:rsidRPr="00DA6ABB">
        <w:rPr>
          <w:i/>
          <w:iCs/>
        </w:rPr>
        <w:t xml:space="preserve"> dla naborów dedykowanych OZE lub jeśli instalacja OZE jest elementem uzupełniającym)</w:t>
      </w:r>
      <w:r>
        <w:rPr>
          <w:i/>
          <w:iCs/>
        </w:rPr>
        <w:t xml:space="preserve">, </w:t>
      </w:r>
      <w:r w:rsidRPr="00673E38">
        <w:t xml:space="preserve">stanowiący </w:t>
      </w:r>
      <w:r w:rsidRPr="00E03ED6">
        <w:t xml:space="preserve">załącznik nr </w:t>
      </w:r>
      <w:r>
        <w:t xml:space="preserve">11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73C38BB4" w14:textId="7C13B12D" w:rsidR="0010686A" w:rsidRDefault="0010686A" w:rsidP="0010686A">
      <w:pPr>
        <w:pStyle w:val="Akapitzlist"/>
        <w:spacing w:before="120" w:after="120"/>
        <w:ind w:left="357"/>
        <w:jc w:val="both"/>
      </w:pPr>
      <w:r w:rsidRPr="003B3B22">
        <w:t>Pomniejszenie finansowania UE, o którym mowa w niniejszym ustępie, nie jest traktowane jako nieprawidłowość</w:t>
      </w:r>
      <w:r>
        <w:t xml:space="preserve">, </w:t>
      </w:r>
      <w:r w:rsidRPr="000C2B45">
        <w:rPr>
          <w:color w:val="EE0000"/>
        </w:rPr>
        <w:t>z zastrzeżeniem ust. 1</w:t>
      </w:r>
      <w:r>
        <w:rPr>
          <w:color w:val="EE0000"/>
        </w:rPr>
        <w:t>6</w:t>
      </w:r>
      <w:r w:rsidRPr="003B3B22">
        <w:t>.</w:t>
      </w:r>
    </w:p>
    <w:p w14:paraId="3C5057A9" w14:textId="02D65690" w:rsidR="00481A10" w:rsidRPr="00112BD6" w:rsidRDefault="00481A10" w:rsidP="00481A10">
      <w:pPr>
        <w:pStyle w:val="Akapitzlist"/>
        <w:numPr>
          <w:ilvl w:val="0"/>
          <w:numId w:val="6"/>
        </w:numPr>
        <w:spacing w:before="120" w:after="120"/>
        <w:jc w:val="both"/>
      </w:pPr>
      <w:r w:rsidRPr="005F642C">
        <w:t xml:space="preserve">Dla Projektu obejmującego wsparcie infrastrukturalne instytucji otoczenia biznesu lub ośrodka innowacji, realizowanego w ramach Działania 1.5 </w:t>
      </w:r>
      <w:r w:rsidRPr="005F642C">
        <w:rPr>
          <w:i/>
          <w:iCs/>
        </w:rPr>
        <w:t>Wzrost konkurencyjności podlaskich przedsiębiorstw</w:t>
      </w:r>
      <w:r w:rsidRPr="005F642C">
        <w:t xml:space="preserve">, współfinansowanie UE, o którym mowa w ust. 5 pkt 1, będzie podlegało pomniejszeniu </w:t>
      </w:r>
      <w:r w:rsidRPr="005F642C">
        <w:rPr>
          <w:i/>
          <w:iCs/>
        </w:rPr>
        <w:t xml:space="preserve">pro rata </w:t>
      </w:r>
      <w:r w:rsidRPr="005F642C">
        <w:t>w odniesieniu do zajmowanej powierzchni w przypadku, gdy infrastruktura będzie wykorzystywana przez podmiot nie należący do sektora mikro, małych lub średnich przedsiębiorstw (mający status dużego przedsiębiorstwa).</w:t>
      </w:r>
    </w:p>
    <w:p w14:paraId="713FB32D" w14:textId="2C4F23AF" w:rsidR="00481A10" w:rsidRPr="00112BD6" w:rsidRDefault="00481A10" w:rsidP="00481A10">
      <w:pPr>
        <w:pStyle w:val="Akapitzlist"/>
        <w:spacing w:before="120" w:after="120"/>
        <w:ind w:left="360"/>
        <w:jc w:val="both"/>
      </w:pPr>
      <w:r w:rsidRPr="005F642C">
        <w:t>Pomniejszenie dofinansowania UE, o którym mowa w niniejszym ustępie, nie jest traktowane jako nieprawidłowość</w:t>
      </w:r>
      <w:r w:rsidR="0010686A">
        <w:t xml:space="preserve">, </w:t>
      </w:r>
      <w:r w:rsidR="0010686A" w:rsidRPr="000C2B45">
        <w:rPr>
          <w:color w:val="EE0000"/>
        </w:rPr>
        <w:t>z zastrzeżeniem ust. 1</w:t>
      </w:r>
      <w:r w:rsidR="0010686A">
        <w:rPr>
          <w:color w:val="EE0000"/>
        </w:rPr>
        <w:t>6</w:t>
      </w:r>
    </w:p>
    <w:p w14:paraId="272572DF" w14:textId="77777777" w:rsidR="00481A10" w:rsidRDefault="00481A10" w:rsidP="00481A10">
      <w:pPr>
        <w:pStyle w:val="Akapitzlist"/>
        <w:numPr>
          <w:ilvl w:val="0"/>
          <w:numId w:val="6"/>
        </w:numPr>
        <w:spacing w:before="120" w:after="120"/>
        <w:jc w:val="both"/>
      </w:pPr>
      <w:r>
        <w:t>W przypadku projektów objętych pomocą publiczną, w ramach których udzielana jest pomoc inwestycyjna na efektywny energetycznie system ciepłowniczy i chłodniczy (art. 46 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7318B4E8" w:rsidR="00481A10" w:rsidRDefault="00481A10" w:rsidP="00481A10">
      <w:pPr>
        <w:pStyle w:val="Akapitzlist"/>
        <w:spacing w:before="120" w:after="120"/>
        <w:ind w:left="357"/>
        <w:jc w:val="both"/>
      </w:pPr>
      <w:r>
        <w:t>Pomniejszenie finansowania UE, o którym mowa w niniejszym ustępie, nie jest traktowane jako nieprawidłowość</w:t>
      </w:r>
      <w:r w:rsidR="0010686A">
        <w:t xml:space="preserve">, </w:t>
      </w:r>
      <w:r w:rsidR="0010686A" w:rsidRPr="000C2B45">
        <w:rPr>
          <w:color w:val="EE0000"/>
        </w:rPr>
        <w:t>z zastrzeżeniem ust. 1</w:t>
      </w:r>
      <w:r w:rsidR="0010686A">
        <w:rPr>
          <w:color w:val="EE0000"/>
        </w:rPr>
        <w:t>6</w:t>
      </w:r>
    </w:p>
    <w:p w14:paraId="35DC82F6" w14:textId="15E11B4D"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10686A">
        <w:t>5</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A74BE8">
      <w:pPr>
        <w:pStyle w:val="Akapitzlist"/>
        <w:numPr>
          <w:ilvl w:val="0"/>
          <w:numId w:val="14"/>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w:t>
      </w:r>
      <w:r w:rsidRPr="00DA0210">
        <w:lastRenderedPageBreak/>
        <w:t xml:space="preserve">przed rozpoczęciem i po zakończeniu okresu kwalifikowalności wydatków dla Projektu będą uznane za niekwalifikowalne. </w:t>
      </w:r>
    </w:p>
    <w:p w14:paraId="410DF473" w14:textId="0C47F3E0" w:rsidR="0050422B" w:rsidRPr="000834DC" w:rsidRDefault="00C74406">
      <w:pPr>
        <w:pStyle w:val="Akapitzlist"/>
        <w:numPr>
          <w:ilvl w:val="0"/>
          <w:numId w:val="14"/>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Pr="003B3B22" w:rsidRDefault="0050422B">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9300B">
      <w:pPr>
        <w:pStyle w:val="Akapitzlist"/>
        <w:numPr>
          <w:ilvl w:val="1"/>
          <w:numId w:val="15"/>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udzielania pisemnych odpowiedzi na wszelkie zapytania i wystąpienia IZ  dotyczące realizacji Umowy bezzwłocznie lub w terminach w nich określonych. Beneficjent jest zobowiązany do 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pPr>
        <w:pStyle w:val="Akapitzlist"/>
        <w:numPr>
          <w:ilvl w:val="1"/>
          <w:numId w:val="15"/>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4244F1">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lastRenderedPageBreak/>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4244F1">
      <w:pPr>
        <w:pStyle w:val="Akapitzlist"/>
        <w:numPr>
          <w:ilvl w:val="0"/>
          <w:numId w:val="15"/>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 xml:space="preserve">zastawu rejestrowego na zasadach określonych w przepisach o zastawie rejestrowym i rejestrze zastawów; w przypadku gdy mienie objęte zastawem może stanowić przedmiot </w:t>
      </w:r>
      <w:r w:rsidRPr="003B3B22">
        <w:lastRenderedPageBreak/>
        <w:t>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CE0EFF">
      <w:pPr>
        <w:pStyle w:val="Akapitzlist"/>
        <w:numPr>
          <w:ilvl w:val="0"/>
          <w:numId w:val="78"/>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CE0EFF">
      <w:pPr>
        <w:pStyle w:val="Akapitzlist"/>
        <w:numPr>
          <w:ilvl w:val="0"/>
          <w:numId w:val="78"/>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CE0EFF">
      <w:pPr>
        <w:pStyle w:val="Akapitzlist"/>
        <w:numPr>
          <w:ilvl w:val="0"/>
          <w:numId w:val="80"/>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 xml:space="preserve">znaku Funduszy Europejskich, znaku barw Rzeczypospolitej Polskiej (jeśli dotyczy; wersja </w:t>
      </w:r>
      <w:proofErr w:type="spellStart"/>
      <w:r w:rsidRPr="00234984">
        <w:t>pełnokolorowa</w:t>
      </w:r>
      <w:proofErr w:type="spellEnd"/>
      <w:r w:rsidRPr="00234984">
        <w:t>)</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E03ED6">
      <w:pPr>
        <w:pStyle w:val="Akapitzlist"/>
        <w:numPr>
          <w:ilvl w:val="0"/>
          <w:numId w:val="82"/>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995FC7">
      <w:pPr>
        <w:pStyle w:val="Akapitzlist"/>
        <w:numPr>
          <w:ilvl w:val="0"/>
          <w:numId w:val="82"/>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C04850">
      <w:pPr>
        <w:pStyle w:val="Akapitzlist"/>
        <w:numPr>
          <w:ilvl w:val="0"/>
          <w:numId w:val="80"/>
        </w:numPr>
        <w:spacing w:before="120" w:after="120"/>
        <w:ind w:left="851" w:hanging="357"/>
        <w:contextualSpacing w:val="0"/>
        <w:jc w:val="both"/>
      </w:pPr>
      <w:r w:rsidRPr="00234984">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E03ED6">
      <w:pPr>
        <w:pStyle w:val="Akapitzlist"/>
        <w:numPr>
          <w:ilvl w:val="0"/>
          <w:numId w:val="80"/>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E03ED6">
      <w:pPr>
        <w:pStyle w:val="Akapitzlist"/>
        <w:numPr>
          <w:ilvl w:val="0"/>
          <w:numId w:val="80"/>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E03ED6">
      <w:pPr>
        <w:numPr>
          <w:ilvl w:val="1"/>
          <w:numId w:val="80"/>
        </w:numPr>
        <w:spacing w:before="120" w:after="120"/>
        <w:ind w:left="1276"/>
        <w:jc w:val="both"/>
        <w:rPr>
          <w:color w:val="000000" w:themeColor="text1"/>
        </w:rPr>
      </w:pPr>
      <w:r w:rsidRPr="007242A8">
        <w:rPr>
          <w:color w:val="000000" w:themeColor="text1"/>
        </w:rPr>
        <w:lastRenderedPageBreak/>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25E0B432" w14:textId="77777777" w:rsidR="0051759C" w:rsidRDefault="004A43C0" w:rsidP="00E03ED6">
      <w:pPr>
        <w:numPr>
          <w:ilvl w:val="1"/>
          <w:numId w:val="80"/>
        </w:numPr>
        <w:spacing w:before="120" w:after="120"/>
        <w:ind w:left="1276"/>
        <w:jc w:val="both"/>
        <w:rPr>
          <w:color w:val="000000" w:themeColor="text1"/>
        </w:rPr>
      </w:pPr>
      <w:r w:rsidRPr="00234984">
        <w:rPr>
          <w:color w:val="000000" w:themeColor="text1"/>
        </w:rPr>
        <w:t>wysokość wkładu Funduszy Europejskich</w:t>
      </w:r>
      <w:r w:rsidR="0051759C">
        <w:rPr>
          <w:color w:val="000000" w:themeColor="text1"/>
        </w:rPr>
        <w:t>,</w:t>
      </w:r>
    </w:p>
    <w:p w14:paraId="10695ED8" w14:textId="3C47B90A" w:rsidR="004A43C0" w:rsidRPr="00234984" w:rsidRDefault="0051759C" w:rsidP="00E03ED6">
      <w:pPr>
        <w:numPr>
          <w:ilvl w:val="1"/>
          <w:numId w:val="80"/>
        </w:numPr>
        <w:spacing w:before="120" w:after="120"/>
        <w:ind w:left="1276"/>
        <w:jc w:val="both"/>
        <w:rPr>
          <w:color w:val="000000" w:themeColor="text1"/>
        </w:rPr>
      </w:pPr>
      <w:r>
        <w:rPr>
          <w:color w:val="000000" w:themeColor="text1"/>
        </w:rPr>
        <w:t xml:space="preserve"> </w:t>
      </w:r>
      <w:r w:rsidRPr="0051759C">
        <w:rPr>
          <w:color w:val="000000" w:themeColor="text1"/>
        </w:rPr>
        <w:t>hasztag #FunduszeUE lub #FunduszeEuropejskie</w:t>
      </w:r>
      <w:r w:rsidR="004A43C0">
        <w:rPr>
          <w:color w:val="000000" w:themeColor="text1"/>
        </w:rPr>
        <w:t>;</w:t>
      </w:r>
    </w:p>
    <w:p w14:paraId="7D9849A8" w14:textId="49B5F134" w:rsidR="004A43C0" w:rsidRDefault="004A43C0" w:rsidP="003317CB">
      <w:pPr>
        <w:numPr>
          <w:ilvl w:val="0"/>
          <w:numId w:val="80"/>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 xml:space="preserve">Do udziału w wydarzeniu informacyjno-promocyjnym należy zaprosić z co najmniej 4-tygodniowym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E03ED6">
      <w:pPr>
        <w:numPr>
          <w:ilvl w:val="0"/>
          <w:numId w:val="80"/>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E03ED6">
      <w:pPr>
        <w:pStyle w:val="Akapitzlist"/>
        <w:numPr>
          <w:ilvl w:val="0"/>
          <w:numId w:val="78"/>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C04850">
      <w:pPr>
        <w:pStyle w:val="Akapitzlist"/>
        <w:numPr>
          <w:ilvl w:val="0"/>
          <w:numId w:val="78"/>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E03ED6">
      <w:pPr>
        <w:pStyle w:val="Akapitzlist"/>
        <w:numPr>
          <w:ilvl w:val="0"/>
          <w:numId w:val="78"/>
        </w:numPr>
        <w:spacing w:before="120" w:after="120"/>
        <w:ind w:left="426"/>
        <w:contextualSpacing w:val="0"/>
        <w:jc w:val="both"/>
      </w:pPr>
      <w:r w:rsidRPr="00234984">
        <w:lastRenderedPageBreak/>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E03ED6">
      <w:pPr>
        <w:pStyle w:val="Akapitzlist"/>
        <w:numPr>
          <w:ilvl w:val="0"/>
          <w:numId w:val="78"/>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BF7768">
      <w:pPr>
        <w:pStyle w:val="Akapitzlist"/>
        <w:numPr>
          <w:ilvl w:val="0"/>
          <w:numId w:val="78"/>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BE77CA">
      <w:pPr>
        <w:pStyle w:val="Akapitzlist"/>
        <w:numPr>
          <w:ilvl w:val="0"/>
          <w:numId w:val="78"/>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C04850">
      <w:pPr>
        <w:pStyle w:val="Akapitzlist"/>
        <w:numPr>
          <w:ilvl w:val="0"/>
          <w:numId w:val="78"/>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E03ED6">
      <w:pPr>
        <w:pStyle w:val="Akapitzlist"/>
        <w:numPr>
          <w:ilvl w:val="0"/>
          <w:numId w:val="78"/>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5E5155">
      <w:pPr>
        <w:pStyle w:val="Akapitzlist"/>
        <w:numPr>
          <w:ilvl w:val="0"/>
          <w:numId w:val="81"/>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5E5155">
      <w:pPr>
        <w:pStyle w:val="Akapitzlist"/>
        <w:numPr>
          <w:ilvl w:val="0"/>
          <w:numId w:val="81"/>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5E5155">
      <w:pPr>
        <w:pStyle w:val="Akapitzlist"/>
        <w:numPr>
          <w:ilvl w:val="0"/>
          <w:numId w:val="81"/>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5E5155">
      <w:pPr>
        <w:numPr>
          <w:ilvl w:val="0"/>
          <w:numId w:val="83"/>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5E5155">
      <w:pPr>
        <w:numPr>
          <w:ilvl w:val="0"/>
          <w:numId w:val="83"/>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5E5155">
      <w:pPr>
        <w:numPr>
          <w:ilvl w:val="0"/>
          <w:numId w:val="83"/>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5E5155">
      <w:pPr>
        <w:pStyle w:val="Akapitzlist"/>
        <w:numPr>
          <w:ilvl w:val="0"/>
          <w:numId w:val="81"/>
        </w:numPr>
        <w:spacing w:before="120" w:after="120"/>
        <w:ind w:left="709" w:hanging="283"/>
        <w:jc w:val="both"/>
      </w:pPr>
      <w:r w:rsidRPr="00234984">
        <w:t xml:space="preserve">z prawem do udzielania osobom trzecim sublicencji na warunkach i polach eksploatacji, o których mowa w ust. 10. </w:t>
      </w:r>
    </w:p>
    <w:p w14:paraId="408776C0" w14:textId="48260299" w:rsidR="004A43C0" w:rsidRPr="00234984" w:rsidRDefault="004A43C0" w:rsidP="005E5155">
      <w:pPr>
        <w:pStyle w:val="Akapitzlist"/>
        <w:numPr>
          <w:ilvl w:val="0"/>
          <w:numId w:val="78"/>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596E15" w:rsidRPr="00DC390B">
          <w:rPr>
            <w:rStyle w:val="Hipercze"/>
          </w:rPr>
          <w:t>www.funduszeuepodlaskie.pl</w:t>
        </w:r>
      </w:hyperlink>
      <w:r w:rsidR="00596E15">
        <w:t xml:space="preserve"> </w:t>
      </w:r>
    </w:p>
    <w:p w14:paraId="27E37054" w14:textId="7E0233B8" w:rsidR="004A43C0" w:rsidRPr="00234984" w:rsidRDefault="004A43C0" w:rsidP="005E5155">
      <w:pPr>
        <w:pStyle w:val="Akapitzlist"/>
        <w:numPr>
          <w:ilvl w:val="0"/>
          <w:numId w:val="78"/>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5E5155">
      <w:pPr>
        <w:pStyle w:val="Akapitzlist"/>
        <w:numPr>
          <w:ilvl w:val="0"/>
          <w:numId w:val="78"/>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9300B">
      <w:pPr>
        <w:pStyle w:val="Akapitzlist"/>
        <w:numPr>
          <w:ilvl w:val="0"/>
          <w:numId w:val="31"/>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9300B">
      <w:pPr>
        <w:pStyle w:val="Akapitzlist"/>
        <w:numPr>
          <w:ilvl w:val="0"/>
          <w:numId w:val="31"/>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9300B">
      <w:pPr>
        <w:pStyle w:val="Akapitzlist"/>
        <w:numPr>
          <w:ilvl w:val="0"/>
          <w:numId w:val="31"/>
        </w:numPr>
        <w:spacing w:before="120" w:after="120"/>
        <w:contextualSpacing w:val="0"/>
        <w:jc w:val="both"/>
      </w:pPr>
      <w:r w:rsidRPr="003B3B22">
        <w:t>Środki finansowe przekazywane Beneficjentowi pochodzą:</w:t>
      </w:r>
    </w:p>
    <w:p w14:paraId="118AD01A" w14:textId="77777777" w:rsidR="00F9300B" w:rsidRPr="003B3B22" w:rsidRDefault="00F9300B" w:rsidP="00F9300B">
      <w:pPr>
        <w:pStyle w:val="Akapitzlist"/>
        <w:numPr>
          <w:ilvl w:val="1"/>
          <w:numId w:val="27"/>
        </w:numPr>
        <w:spacing w:before="120" w:after="120"/>
        <w:contextualSpacing w:val="0"/>
        <w:jc w:val="both"/>
      </w:pPr>
      <w:r w:rsidRPr="003B3B22">
        <w:t>z budżetu środków europejskich;</w:t>
      </w:r>
    </w:p>
    <w:p w14:paraId="155E2B06" w14:textId="77777777" w:rsidR="00F9300B" w:rsidRPr="003B3B22" w:rsidRDefault="00F9300B" w:rsidP="00F9300B">
      <w:pPr>
        <w:pStyle w:val="Akapitzlist"/>
        <w:numPr>
          <w:ilvl w:val="1"/>
          <w:numId w:val="27"/>
        </w:numPr>
        <w:spacing w:before="120" w:after="120"/>
        <w:contextualSpacing w:val="0"/>
        <w:jc w:val="both"/>
      </w:pPr>
      <w:r w:rsidRPr="003B3B22">
        <w:t>z dotacji celowej.</w:t>
      </w:r>
    </w:p>
    <w:p w14:paraId="58A533C9" w14:textId="77777777" w:rsidR="00F9300B" w:rsidRPr="00893856" w:rsidRDefault="00F9300B" w:rsidP="00F9300B">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9300B">
      <w:pPr>
        <w:pStyle w:val="Akapitzlist"/>
        <w:numPr>
          <w:ilvl w:val="0"/>
          <w:numId w:val="31"/>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9300B">
      <w:pPr>
        <w:pStyle w:val="Akapitzlist"/>
        <w:numPr>
          <w:ilvl w:val="0"/>
          <w:numId w:val="31"/>
        </w:numPr>
        <w:spacing w:before="120" w:after="120"/>
        <w:contextualSpacing w:val="0"/>
        <w:jc w:val="both"/>
      </w:pPr>
      <w:r w:rsidRPr="003B3B22">
        <w:lastRenderedPageBreak/>
        <w:t>Wysokość wnioskowanej zaliczki musi być uzasadniona faktycznymi i/lub planowanymi wydatkami, jak też zaawansowaniem realizacji Projektu.</w:t>
      </w:r>
    </w:p>
    <w:p w14:paraId="61C239B3" w14:textId="44BF9855" w:rsidR="00F9300B" w:rsidRPr="003B3B22" w:rsidRDefault="00F9300B" w:rsidP="00F9300B">
      <w:pPr>
        <w:pStyle w:val="Akapitzlist"/>
        <w:numPr>
          <w:ilvl w:val="0"/>
          <w:numId w:val="31"/>
        </w:numPr>
        <w:spacing w:before="120" w:after="120"/>
        <w:contextualSpacing w:val="0"/>
        <w:jc w:val="both"/>
      </w:pPr>
      <w:r w:rsidRPr="003B3B22">
        <w:t xml:space="preserve">Zaliczka może być przekazana w jednej lub kilku transzach, przy czym wypłata </w:t>
      </w:r>
      <w:bookmarkStart w:id="1" w:name="_Hlk159879141"/>
      <w:r w:rsidR="00BA1F5B">
        <w:t>drugiej i</w:t>
      </w:r>
      <w:bookmarkEnd w:id="1"/>
      <w:r w:rsidR="00BA1F5B">
        <w:t xml:space="preserve"> </w:t>
      </w:r>
      <w:r w:rsidRPr="003B3B22">
        <w:t>kolejn</w:t>
      </w:r>
      <w:r w:rsidR="00BA1F5B">
        <w:t>ych</w:t>
      </w:r>
      <w:r w:rsidRPr="003B3B22">
        <w:t xml:space="preserve"> transz uzależniona jest od rozliczenia </w:t>
      </w:r>
      <w:r w:rsidR="00DD717A">
        <w:t>……</w:t>
      </w:r>
      <w:r w:rsidRPr="003B3B22">
        <w:t xml:space="preserve">% </w:t>
      </w:r>
      <w:bookmarkStart w:id="2" w:name="_Hlk159879185"/>
      <w:r w:rsidR="00BA1F5B" w:rsidRPr="00BA1F5B">
        <w:t>łącznej kwoty dotychczas otrzymanych transz</w:t>
      </w:r>
      <w:bookmarkEnd w:id="2"/>
      <w:r w:rsidR="00BA1F5B" w:rsidRPr="00BA1F5B">
        <w:t xml:space="preserve"> </w:t>
      </w:r>
      <w:r w:rsidRPr="003B3B22">
        <w:t>zaliczki. Warunkiem przekazania dofinansowania w formie zaliczki jest:</w:t>
      </w:r>
    </w:p>
    <w:p w14:paraId="732C78F1" w14:textId="77777777" w:rsidR="00F9300B" w:rsidRPr="003B3B22" w:rsidRDefault="00F9300B" w:rsidP="00F9300B">
      <w:pPr>
        <w:pStyle w:val="Akapitzlist"/>
        <w:numPr>
          <w:ilvl w:val="1"/>
          <w:numId w:val="31"/>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9300B">
      <w:pPr>
        <w:pStyle w:val="Akapitzlist"/>
        <w:numPr>
          <w:ilvl w:val="1"/>
          <w:numId w:val="31"/>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9300B">
      <w:pPr>
        <w:pStyle w:val="Akapitzlist"/>
        <w:numPr>
          <w:ilvl w:val="1"/>
          <w:numId w:val="31"/>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703F2D8B" w:rsidR="00F9300B" w:rsidRDefault="00F9300B" w:rsidP="00F9300B">
      <w:pPr>
        <w:pStyle w:val="Akapitzlist"/>
        <w:numPr>
          <w:ilvl w:val="0"/>
          <w:numId w:val="31"/>
        </w:numPr>
        <w:spacing w:before="120" w:after="120"/>
        <w:contextualSpacing w:val="0"/>
        <w:jc w:val="both"/>
      </w:pPr>
      <w:r w:rsidRPr="003B3B22">
        <w:t xml:space="preserve">Beneficjent ma obowiązek rozliczenia kwoty zaliczki w </w:t>
      </w:r>
      <w:bookmarkStart w:id="3" w:name="_Hlk159879203"/>
      <w:r w:rsidR="00BA1F5B">
        <w:t xml:space="preserve">wysokości …..% łącznej kwoty dotychczas otrzymanych transz zaliczki </w:t>
      </w:r>
      <w:bookmarkEnd w:id="3"/>
      <w:r w:rsidRPr="003B3B22">
        <w:t xml:space="preserve">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Default="00F9300B" w:rsidP="00F9300B">
      <w:pPr>
        <w:pStyle w:val="Akapitzlist"/>
        <w:numPr>
          <w:ilvl w:val="0"/>
          <w:numId w:val="31"/>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177EC745" w14:textId="4D8BD0D3" w:rsidR="00BA1F5B" w:rsidRPr="002B31BA" w:rsidRDefault="00BA1F5B" w:rsidP="00F9300B">
      <w:pPr>
        <w:pStyle w:val="Akapitzlist"/>
        <w:numPr>
          <w:ilvl w:val="0"/>
          <w:numId w:val="31"/>
        </w:numPr>
        <w:spacing w:before="120" w:after="120"/>
        <w:contextualSpacing w:val="0"/>
        <w:jc w:val="both"/>
      </w:pPr>
      <w:bookmarkStart w:id="4" w:name="_Hlk159879253"/>
      <w:r w:rsidRPr="002B31BA">
        <w:t>Beneficjent ma obowiązek rozliczyć 100% otrzymanych transz zaliczki najpóźniej w terminie</w:t>
      </w:r>
      <w:r w:rsidR="000E4219" w:rsidRPr="002B31BA">
        <w:t xml:space="preserve"> </w:t>
      </w:r>
      <w:r w:rsidRPr="002B31BA">
        <w:t>20 dni kalendarzowych od dnia zakończenia finansowego realizacji Projektu</w:t>
      </w:r>
      <w:r w:rsidR="003E5226" w:rsidRPr="002B31BA">
        <w:rPr>
          <w:rStyle w:val="Odwoanieprzypisudolnego"/>
        </w:rPr>
        <w:footnoteReference w:id="15"/>
      </w:r>
      <w:r w:rsidRPr="002B31BA">
        <w:t>.</w:t>
      </w:r>
    </w:p>
    <w:bookmarkEnd w:id="4"/>
    <w:p w14:paraId="19D6B71F" w14:textId="77777777" w:rsidR="00F9300B" w:rsidRPr="00C151FB" w:rsidRDefault="00F9300B" w:rsidP="00F9300B">
      <w:pPr>
        <w:pStyle w:val="Akapitzlist"/>
        <w:numPr>
          <w:ilvl w:val="0"/>
          <w:numId w:val="31"/>
        </w:numPr>
        <w:jc w:val="both"/>
      </w:pPr>
      <w:r w:rsidRPr="00591A4D">
        <w:t xml:space="preserve">Beneficjent oraz Partnerzy nie mogą przeznaczać otrzymanego w ramach zaliczki dofinansowania na cele inne niż związane z Projektem, w szczególności na tymczasowe finansowanie swojej podstawowej, </w:t>
      </w:r>
      <w:proofErr w:type="spellStart"/>
      <w:r w:rsidRPr="00591A4D">
        <w:t>pozaprojektowej</w:t>
      </w:r>
      <w:proofErr w:type="spellEnd"/>
      <w:r w:rsidRPr="00591A4D">
        <w:t xml:space="preserve"> działalności.</w:t>
      </w:r>
    </w:p>
    <w:p w14:paraId="5D3BD53C" w14:textId="5E068101" w:rsidR="00F9300B" w:rsidRPr="003B3B22" w:rsidRDefault="00F9300B" w:rsidP="00F9300B">
      <w:pPr>
        <w:pStyle w:val="Akapitzlist"/>
        <w:numPr>
          <w:ilvl w:val="0"/>
          <w:numId w:val="31"/>
        </w:numPr>
        <w:spacing w:before="120" w:after="120"/>
        <w:contextualSpacing w:val="0"/>
        <w:jc w:val="both"/>
      </w:pPr>
      <w:r w:rsidRPr="003B3B22">
        <w:t xml:space="preserve">Środki przekazane w formie zaliczki, mogą być wykorzystane za pisemną zgodą IZ, na pokrycie wydatków kwalifikowalnych określonych w Projekcie, a poniesionych przez Beneficjenta ze środków własnych, jeśli zaistniała konieczność </w:t>
      </w:r>
      <w:r w:rsidR="00BA1F5B">
        <w:t xml:space="preserve">ich poniesienia </w:t>
      </w:r>
      <w:r w:rsidRPr="003B3B22">
        <w:t>w oznaczonym terminie, przed otrzymaniem zaliczki.</w:t>
      </w:r>
    </w:p>
    <w:p w14:paraId="5B7048BE" w14:textId="77777777" w:rsidR="00F9300B" w:rsidRPr="003B3B22" w:rsidRDefault="00F9300B" w:rsidP="00F9300B">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9300B">
      <w:pPr>
        <w:pStyle w:val="Akapitzlist"/>
        <w:numPr>
          <w:ilvl w:val="1"/>
          <w:numId w:val="15"/>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9300B">
      <w:pPr>
        <w:pStyle w:val="Akapitzlist"/>
        <w:numPr>
          <w:ilvl w:val="1"/>
          <w:numId w:val="15"/>
        </w:numPr>
        <w:autoSpaceDE w:val="0"/>
        <w:autoSpaceDN w:val="0"/>
        <w:adjustRightInd w:val="0"/>
        <w:spacing w:before="120" w:after="120"/>
        <w:contextualSpacing w:val="0"/>
        <w:jc w:val="both"/>
      </w:pPr>
      <w:r w:rsidRPr="003B3B22">
        <w:lastRenderedPageBreak/>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9300B">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9300B">
      <w:pPr>
        <w:pStyle w:val="Akapitzlist"/>
        <w:numPr>
          <w:ilvl w:val="0"/>
          <w:numId w:val="31"/>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E03ED6">
      <w:pPr>
        <w:pStyle w:val="Akapitzlist"/>
        <w:numPr>
          <w:ilvl w:val="0"/>
          <w:numId w:val="31"/>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9300B">
      <w:pPr>
        <w:pStyle w:val="Akapitzlist"/>
        <w:numPr>
          <w:ilvl w:val="0"/>
          <w:numId w:val="134"/>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9300B">
      <w:pPr>
        <w:pStyle w:val="Akapitzlist"/>
        <w:numPr>
          <w:ilvl w:val="0"/>
          <w:numId w:val="134"/>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136BEA">
      <w:pPr>
        <w:pStyle w:val="Akapitzlist"/>
        <w:numPr>
          <w:ilvl w:val="0"/>
          <w:numId w:val="134"/>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9300B">
      <w:pPr>
        <w:pStyle w:val="Akapitzlist"/>
        <w:numPr>
          <w:ilvl w:val="0"/>
          <w:numId w:val="134"/>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9300B">
      <w:pPr>
        <w:pStyle w:val="Akapitzlist"/>
        <w:numPr>
          <w:ilvl w:val="0"/>
          <w:numId w:val="134"/>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poniesionych wydatków,</w:t>
      </w:r>
    </w:p>
    <w:p w14:paraId="2381D6E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zaliczkę,</w:t>
      </w:r>
    </w:p>
    <w:p w14:paraId="471E64A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i zaliczkę,</w:t>
      </w:r>
    </w:p>
    <w:p w14:paraId="74089430"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lastRenderedPageBreak/>
        <w:t>rozliczenie zaliczki,</w:t>
      </w:r>
    </w:p>
    <w:p w14:paraId="0829EBC1"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9300B">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9300B">
      <w:pPr>
        <w:pStyle w:val="Akapitzlist"/>
        <w:numPr>
          <w:ilvl w:val="0"/>
          <w:numId w:val="134"/>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9300B">
      <w:pPr>
        <w:pStyle w:val="Akapitzlist"/>
        <w:numPr>
          <w:ilvl w:val="0"/>
          <w:numId w:val="103"/>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9300B">
      <w:pPr>
        <w:pStyle w:val="Akapitzlist"/>
        <w:numPr>
          <w:ilvl w:val="0"/>
          <w:numId w:val="104"/>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9300B">
      <w:pPr>
        <w:pStyle w:val="Akapitzlist"/>
        <w:numPr>
          <w:ilvl w:val="0"/>
          <w:numId w:val="104"/>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9300B">
      <w:pPr>
        <w:pStyle w:val="Akapitzlist"/>
        <w:numPr>
          <w:ilvl w:val="0"/>
          <w:numId w:val="104"/>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5" w:name="_Hlk132971375"/>
      <w:r>
        <w:rPr>
          <w:bCs/>
        </w:rPr>
        <w:t>w przypadku, gdy obowiązek sporządzenia tych dokumentów wynika z Umowy z wykonawcą lub przepisów prawa</w:t>
      </w:r>
      <w:bookmarkEnd w:id="5"/>
    </w:p>
    <w:p w14:paraId="552E862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9300B">
      <w:pPr>
        <w:pStyle w:val="Akapitzlist"/>
        <w:numPr>
          <w:ilvl w:val="0"/>
          <w:numId w:val="104"/>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9300B">
      <w:pPr>
        <w:pStyle w:val="Akapitzlist"/>
        <w:numPr>
          <w:ilvl w:val="0"/>
          <w:numId w:val="104"/>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9300B">
      <w:pPr>
        <w:pStyle w:val="Akapitzlist"/>
        <w:numPr>
          <w:ilvl w:val="0"/>
          <w:numId w:val="104"/>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leasingu: umowy leasingu z harmonogramem spłat,</w:t>
      </w:r>
    </w:p>
    <w:p w14:paraId="7CC52F7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9300B">
      <w:pPr>
        <w:pStyle w:val="Akapitzlist"/>
        <w:numPr>
          <w:ilvl w:val="0"/>
          <w:numId w:val="107"/>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9300B">
      <w:pPr>
        <w:pStyle w:val="Akapitzlist"/>
        <w:numPr>
          <w:ilvl w:val="0"/>
          <w:numId w:val="107"/>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budynku lub budowli:</w:t>
      </w:r>
    </w:p>
    <w:p w14:paraId="7DF509FB" w14:textId="77777777" w:rsidR="00F9300B" w:rsidRDefault="00F9300B" w:rsidP="00F9300B">
      <w:pPr>
        <w:pStyle w:val="Akapitzlist"/>
        <w:numPr>
          <w:ilvl w:val="0"/>
          <w:numId w:val="108"/>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9300B">
      <w:pPr>
        <w:pStyle w:val="Akapitzlist"/>
        <w:numPr>
          <w:ilvl w:val="0"/>
          <w:numId w:val="108"/>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9300B">
      <w:pPr>
        <w:pStyle w:val="Akapitzlist"/>
        <w:numPr>
          <w:ilvl w:val="0"/>
          <w:numId w:val="108"/>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9300B">
      <w:pPr>
        <w:pStyle w:val="Akapitzlist"/>
        <w:numPr>
          <w:ilvl w:val="0"/>
          <w:numId w:val="109"/>
        </w:numPr>
        <w:spacing w:before="120" w:after="120"/>
        <w:ind w:left="2127"/>
        <w:jc w:val="both"/>
        <w:rPr>
          <w:bCs/>
        </w:rPr>
      </w:pPr>
      <w:r w:rsidRPr="00E1572C">
        <w:rPr>
          <w:bCs/>
        </w:rPr>
        <w:lastRenderedPageBreak/>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9300B">
      <w:pPr>
        <w:pStyle w:val="Akapitzlist"/>
        <w:numPr>
          <w:ilvl w:val="0"/>
          <w:numId w:val="104"/>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9300B">
      <w:pPr>
        <w:pStyle w:val="Akapitzlist"/>
        <w:numPr>
          <w:ilvl w:val="0"/>
          <w:numId w:val="104"/>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9300B">
      <w:pPr>
        <w:pStyle w:val="Akapitzlist"/>
        <w:numPr>
          <w:ilvl w:val="0"/>
          <w:numId w:val="104"/>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9300B">
      <w:pPr>
        <w:pStyle w:val="Akapitzlist"/>
        <w:numPr>
          <w:ilvl w:val="0"/>
          <w:numId w:val="103"/>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9300B">
      <w:pPr>
        <w:pStyle w:val="Akapitzlist"/>
        <w:numPr>
          <w:ilvl w:val="0"/>
          <w:numId w:val="134"/>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336B7DA2" w:rsidR="00F9300B" w:rsidRPr="00A22EF5" w:rsidRDefault="00F9300B" w:rsidP="00F9300B">
      <w:pPr>
        <w:pStyle w:val="Akapitzlist"/>
        <w:numPr>
          <w:ilvl w:val="0"/>
          <w:numId w:val="134"/>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t>
      </w:r>
      <w:r w:rsidR="00437831">
        <w:t>anulowany</w:t>
      </w:r>
      <w:r w:rsidRPr="003B3B22">
        <w:t>”.</w:t>
      </w:r>
      <w:r w:rsidRPr="00A22EF5">
        <w:t xml:space="preserve"> Wniosek, który uzyskał status „</w:t>
      </w:r>
      <w:r w:rsidR="00437831">
        <w:t>anulowany</w:t>
      </w:r>
      <w:r w:rsidRPr="00A22EF5">
        <w:t>” nie jest przez IZ procedowany. Beneficjent zobowiązany jest do złożenia ponownie wniosku o płatność.</w:t>
      </w:r>
    </w:p>
    <w:p w14:paraId="21D139BD" w14:textId="3DBF91C9" w:rsidR="00F9300B" w:rsidRPr="003B3B22" w:rsidRDefault="00F9300B" w:rsidP="00F9300B">
      <w:pPr>
        <w:pStyle w:val="Akapitzlist"/>
        <w:numPr>
          <w:ilvl w:val="0"/>
          <w:numId w:val="134"/>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t>
      </w:r>
      <w:r w:rsidR="00437831">
        <w:rPr>
          <w:bCs/>
        </w:rPr>
        <w:t>-anulowany</w:t>
      </w:r>
      <w:r w:rsidRPr="00A22EF5">
        <w:rPr>
          <w:bCs/>
        </w:rPr>
        <w:t>”.</w:t>
      </w:r>
      <w:r>
        <w:rPr>
          <w:bCs/>
        </w:rPr>
        <w:t xml:space="preserve"> </w:t>
      </w:r>
      <w:r w:rsidRPr="006573BD">
        <w:t>IZ może dokonać uzupełnienia lub poprawy wniosku o płatność, o czym informuje Beneficjenta.</w:t>
      </w:r>
    </w:p>
    <w:p w14:paraId="72A0D266" w14:textId="77777777" w:rsidR="00F9300B" w:rsidRPr="003B3B22" w:rsidRDefault="00F9300B" w:rsidP="00F9300B">
      <w:pPr>
        <w:pStyle w:val="Akapitzlist"/>
        <w:numPr>
          <w:ilvl w:val="0"/>
          <w:numId w:val="134"/>
        </w:numPr>
        <w:spacing w:before="120" w:after="120"/>
        <w:ind w:left="851" w:hanging="425"/>
        <w:jc w:val="both"/>
        <w:rPr>
          <w:bCs/>
        </w:rPr>
      </w:pPr>
      <w:r w:rsidRPr="003B3B22">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9300B">
      <w:pPr>
        <w:pStyle w:val="Akapitzlist"/>
        <w:numPr>
          <w:ilvl w:val="0"/>
          <w:numId w:val="134"/>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587AE2">
      <w:pPr>
        <w:pStyle w:val="Akapitzlist"/>
        <w:numPr>
          <w:ilvl w:val="0"/>
          <w:numId w:val="134"/>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9300B">
      <w:pPr>
        <w:pStyle w:val="Akapitzlist"/>
        <w:numPr>
          <w:ilvl w:val="0"/>
          <w:numId w:val="134"/>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w:t>
      </w:r>
      <w:r w:rsidRPr="000A42F2">
        <w:lastRenderedPageBreak/>
        <w:t xml:space="preserve">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9300B">
      <w:pPr>
        <w:pStyle w:val="Akapitzlist"/>
        <w:numPr>
          <w:ilvl w:val="0"/>
          <w:numId w:val="134"/>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9300B">
      <w:pPr>
        <w:pStyle w:val="Akapitzlist"/>
        <w:numPr>
          <w:ilvl w:val="0"/>
          <w:numId w:val="134"/>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9300B">
      <w:pPr>
        <w:pStyle w:val="Akapitzlist"/>
        <w:numPr>
          <w:ilvl w:val="1"/>
          <w:numId w:val="11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9300B">
      <w:pPr>
        <w:pStyle w:val="Akapitzlist"/>
        <w:numPr>
          <w:ilvl w:val="1"/>
          <w:numId w:val="11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9300B">
      <w:pPr>
        <w:pStyle w:val="Akapitzlist"/>
        <w:numPr>
          <w:ilvl w:val="1"/>
          <w:numId w:val="11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9300B">
      <w:pPr>
        <w:pStyle w:val="Akapitzlist"/>
        <w:numPr>
          <w:ilvl w:val="0"/>
          <w:numId w:val="134"/>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pPr>
        <w:numPr>
          <w:ilvl w:val="0"/>
          <w:numId w:val="36"/>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pPr>
        <w:numPr>
          <w:ilvl w:val="0"/>
          <w:numId w:val="36"/>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proofErr w:type="spellStart"/>
      <w:r w:rsidR="00036AD2">
        <w:t>Pzp</w:t>
      </w:r>
      <w:proofErr w:type="spellEnd"/>
      <w:r w:rsidRPr="003B3B22">
        <w:t xml:space="preserve">, w przypadku gdy wymóg ich stosowania wynika z ustawy </w:t>
      </w:r>
      <w:proofErr w:type="spellStart"/>
      <w:r w:rsidRPr="003B3B22">
        <w:t>Pzp</w:t>
      </w:r>
      <w:proofErr w:type="spellEnd"/>
      <w:r w:rsidRPr="003B3B22">
        <w:t>.</w:t>
      </w:r>
    </w:p>
    <w:p w14:paraId="128BE656" w14:textId="3311CABD"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pPr>
        <w:numPr>
          <w:ilvl w:val="0"/>
          <w:numId w:val="36"/>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pPr>
        <w:numPr>
          <w:ilvl w:val="0"/>
          <w:numId w:val="36"/>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w:t>
      </w:r>
      <w:r w:rsidR="004F6F26" w:rsidRPr="0051192B">
        <w:lastRenderedPageBreak/>
        <w:t xml:space="preserve">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pPr>
        <w:numPr>
          <w:ilvl w:val="0"/>
          <w:numId w:val="36"/>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B6FAF">
      <w:pPr>
        <w:numPr>
          <w:ilvl w:val="0"/>
          <w:numId w:val="36"/>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B6FAF">
      <w:pPr>
        <w:numPr>
          <w:ilvl w:val="1"/>
          <w:numId w:val="36"/>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B6FAF">
      <w:pPr>
        <w:numPr>
          <w:ilvl w:val="1"/>
          <w:numId w:val="36"/>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B6FAF">
      <w:pPr>
        <w:numPr>
          <w:ilvl w:val="0"/>
          <w:numId w:val="36"/>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C30BF2">
      <w:pPr>
        <w:pStyle w:val="Akapitzlist"/>
        <w:numPr>
          <w:ilvl w:val="0"/>
          <w:numId w:val="36"/>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834DC">
      <w:pPr>
        <w:pStyle w:val="Akapitzlist"/>
        <w:numPr>
          <w:ilvl w:val="0"/>
          <w:numId w:val="11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7A146D">
      <w:pPr>
        <w:pStyle w:val="Akapitzlist"/>
        <w:numPr>
          <w:ilvl w:val="0"/>
          <w:numId w:val="151"/>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7A146D">
      <w:pPr>
        <w:pStyle w:val="Akapitzlist"/>
        <w:numPr>
          <w:ilvl w:val="0"/>
          <w:numId w:val="151"/>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26B98D6" w14:textId="7B25A31C" w:rsidR="00BA1F5B" w:rsidRPr="000703AE" w:rsidRDefault="00BA1F5B" w:rsidP="000703AE">
      <w:pPr>
        <w:pStyle w:val="Default"/>
        <w:spacing w:before="120" w:after="120"/>
        <w:ind w:left="720"/>
        <w:jc w:val="both"/>
        <w:rPr>
          <w:rFonts w:ascii="Times New Roman" w:hAnsi="Times New Roman" w:cs="Times New Roman"/>
        </w:rPr>
      </w:pPr>
      <w:bookmarkStart w:id="6" w:name="_Hlk159879446"/>
      <w:r w:rsidRPr="00403302">
        <w:rPr>
          <w:rFonts w:ascii="Times New Roman" w:hAnsi="Times New Roman" w:cs="Times New Roman"/>
        </w:rPr>
        <w:t xml:space="preserve">Szczegółowe zasady nakładania korekt finansowych za nieosiągnięcie lub nieutrzymanie wskaźników produktu lub rezultatu określa załącznik nr </w:t>
      </w:r>
      <w:r>
        <w:rPr>
          <w:rFonts w:ascii="Times New Roman" w:hAnsi="Times New Roman" w:cs="Times New Roman"/>
        </w:rPr>
        <w:t>10</w:t>
      </w:r>
      <w:r w:rsidRPr="00403302">
        <w:rPr>
          <w:rFonts w:ascii="Times New Roman" w:hAnsi="Times New Roman" w:cs="Times New Roman"/>
        </w:rPr>
        <w:t xml:space="preserve"> do </w:t>
      </w:r>
      <w:r>
        <w:rPr>
          <w:rFonts w:ascii="Times New Roman" w:hAnsi="Times New Roman" w:cs="Times New Roman"/>
        </w:rPr>
        <w:t>Umowy.</w:t>
      </w:r>
      <w:bookmarkEnd w:id="6"/>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 xml:space="preserve">pomiaru wartości wskaźników produktu i rezultatu osiągniętych dzięki realizacji projektu, określonych w dokumentach aplikacyjnych, zgodnie ze wskazanym sposobem pomiaru i </w:t>
      </w:r>
      <w:r w:rsidRPr="002B6FAF">
        <w:lastRenderedPageBreak/>
        <w:t>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Pr="007A146D" w:rsidRDefault="00901AF6"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7"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7"/>
    <w:p w14:paraId="3EE43A1E" w14:textId="5CABC4D6" w:rsidR="00ED32BE" w:rsidRPr="00D438F6" w:rsidRDefault="00ED32BE" w:rsidP="00B31A38">
      <w:pPr>
        <w:keepNext/>
        <w:numPr>
          <w:ilvl w:val="0"/>
          <w:numId w:val="96"/>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136BEA">
      <w:pPr>
        <w:numPr>
          <w:ilvl w:val="0"/>
          <w:numId w:val="96"/>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w:t>
      </w:r>
      <w:r w:rsidR="00ED32BE" w:rsidRPr="008B241C">
        <w:rPr>
          <w:rFonts w:eastAsia="Calibri"/>
          <w:lang w:eastAsia="ar-SA"/>
        </w:rPr>
        <w:lastRenderedPageBreak/>
        <w:t xml:space="preserve">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W CST2021, o ile do naruszenia doszło w ramach tego systemu, zdarzenia zgłaszane są na service </w:t>
      </w:r>
      <w:proofErr w:type="spellStart"/>
      <w:r w:rsidRPr="00ED32BE">
        <w:rPr>
          <w:rFonts w:eastAsia="Calibri"/>
          <w:lang w:eastAsia="ar-SA"/>
        </w:rPr>
        <w:t>desk</w:t>
      </w:r>
      <w:proofErr w:type="spellEnd"/>
      <w:r w:rsidRPr="00ED32BE">
        <w:rPr>
          <w:rFonts w:eastAsia="Calibri"/>
          <w:lang w:eastAsia="ar-SA"/>
        </w:rPr>
        <w:t xml:space="preserve">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5C25A8">
      <w:pPr>
        <w:keepNext/>
        <w:numPr>
          <w:ilvl w:val="0"/>
          <w:numId w:val="96"/>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o wszelkich czynnościach lub postępowaniach prowadzonych w szczególności przez Prezesa Urzędu Ochrony Danych Osobowych, urzędy państwowe, policję lub sąd w odniesieniu do danych osobowych, udostępnianych w związku z realizacją Projektu.</w:t>
      </w:r>
    </w:p>
    <w:p w14:paraId="3A0FF31B" w14:textId="1A378CA3"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81015">
      <w:pPr>
        <w:numPr>
          <w:ilvl w:val="1"/>
          <w:numId w:val="19"/>
        </w:numPr>
        <w:tabs>
          <w:tab w:val="clear" w:pos="720"/>
        </w:tabs>
        <w:spacing w:before="120" w:after="120"/>
        <w:ind w:left="851"/>
        <w:jc w:val="both"/>
      </w:pPr>
      <w:r w:rsidRPr="003B3B22">
        <w:t>wniosków o płatność,</w:t>
      </w:r>
    </w:p>
    <w:p w14:paraId="2107937C" w14:textId="39C0E7B3" w:rsidR="000D7ACB" w:rsidRPr="003B3B22" w:rsidRDefault="000D7ACB" w:rsidP="00F81015">
      <w:pPr>
        <w:numPr>
          <w:ilvl w:val="1"/>
          <w:numId w:val="19"/>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D7ACB">
      <w:pPr>
        <w:numPr>
          <w:ilvl w:val="1"/>
          <w:numId w:val="19"/>
        </w:numPr>
        <w:tabs>
          <w:tab w:val="clear" w:pos="720"/>
        </w:tabs>
        <w:spacing w:before="120" w:after="120"/>
        <w:ind w:left="851"/>
        <w:jc w:val="both"/>
      </w:pPr>
      <w:r w:rsidRPr="003B3B22">
        <w:t>harmonogramu płatności,</w:t>
      </w:r>
    </w:p>
    <w:p w14:paraId="0D847DF5" w14:textId="7922A5AE" w:rsidR="000D7ACB" w:rsidRPr="003B3B22" w:rsidRDefault="000D7ACB" w:rsidP="000D7ACB">
      <w:pPr>
        <w:numPr>
          <w:ilvl w:val="1"/>
          <w:numId w:val="19"/>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81015">
      <w:pPr>
        <w:numPr>
          <w:ilvl w:val="1"/>
          <w:numId w:val="19"/>
        </w:numPr>
        <w:tabs>
          <w:tab w:val="clear" w:pos="720"/>
        </w:tabs>
        <w:spacing w:before="120" w:after="120"/>
        <w:ind w:left="851"/>
        <w:jc w:val="both"/>
      </w:pPr>
      <w:r w:rsidRPr="003B3B22">
        <w:lastRenderedPageBreak/>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D7ACB">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AC246F">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431A02">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431A02">
      <w:pPr>
        <w:pStyle w:val="Akapitzlist"/>
        <w:numPr>
          <w:ilvl w:val="0"/>
          <w:numId w:val="26"/>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15D21">
      <w:pPr>
        <w:pStyle w:val="Akapitzlist"/>
        <w:numPr>
          <w:ilvl w:val="0"/>
          <w:numId w:val="26"/>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737CD69E" w:rsidR="0050422B" w:rsidRPr="003B3B22" w:rsidRDefault="00C74406" w:rsidP="00054E23">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r w:rsidR="00596E15" w:rsidRPr="00596E15">
        <w:t>www.funduszeuepodlaskie.pl</w:t>
      </w:r>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t>
      </w:r>
      <w:r w:rsidRPr="003B3B22">
        <w:lastRenderedPageBreak/>
        <w:t xml:space="preserve">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r w:rsidR="00596E15" w:rsidRPr="00596E15">
        <w:t>www.funduszeuepodlaskie.pl</w:t>
      </w:r>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81015">
      <w:pPr>
        <w:numPr>
          <w:ilvl w:val="1"/>
          <w:numId w:val="20"/>
        </w:numPr>
        <w:tabs>
          <w:tab w:val="clear" w:pos="720"/>
        </w:tabs>
        <w:spacing w:before="120" w:after="120"/>
        <w:ind w:left="851" w:hanging="357"/>
        <w:jc w:val="both"/>
      </w:pPr>
      <w:r w:rsidRPr="003B3B22">
        <w:t>zmiany treści Umowy</w:t>
      </w:r>
      <w:r w:rsidR="00C00C6D">
        <w:t>;</w:t>
      </w:r>
    </w:p>
    <w:p w14:paraId="457FEDF6" w14:textId="18190840" w:rsidR="00D046B6" w:rsidRDefault="00D046B6" w:rsidP="00F81015">
      <w:pPr>
        <w:numPr>
          <w:ilvl w:val="1"/>
          <w:numId w:val="20"/>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8"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t>§ 14</w:t>
      </w:r>
    </w:p>
    <w:bookmarkEnd w:id="8"/>
    <w:p w14:paraId="72455071" w14:textId="77777777" w:rsidR="00CB4F3F" w:rsidRDefault="00CB4F3F" w:rsidP="00CB4F3F">
      <w:pPr>
        <w:pStyle w:val="Akapitzlist"/>
        <w:numPr>
          <w:ilvl w:val="0"/>
          <w:numId w:val="33"/>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CB4F3F">
      <w:pPr>
        <w:pStyle w:val="Akapitzlist"/>
        <w:numPr>
          <w:ilvl w:val="0"/>
          <w:numId w:val="33"/>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9" w:name="_Hlk130380857"/>
      <w:r w:rsidRPr="00896804">
        <w:t>§ 15</w:t>
      </w:r>
    </w:p>
    <w:bookmarkEnd w:id="9"/>
    <w:p w14:paraId="77607669" w14:textId="5A5040E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pPr>
        <w:pStyle w:val="Akapitzlist"/>
        <w:numPr>
          <w:ilvl w:val="0"/>
          <w:numId w:val="34"/>
        </w:numPr>
        <w:spacing w:before="120" w:after="120"/>
        <w:ind w:left="284" w:hanging="284"/>
        <w:contextualSpacing w:val="0"/>
        <w:jc w:val="both"/>
      </w:pPr>
      <w:r w:rsidRPr="00896804">
        <w:lastRenderedPageBreak/>
        <w:t>Do zwrotu dofinansowania w przypadku wskazany</w:t>
      </w:r>
      <w:r w:rsidR="00F45B7F">
        <w:t>m</w:t>
      </w:r>
      <w:r w:rsidRPr="00896804">
        <w:t xml:space="preserve"> w ust. 1 stosuje się odpowiednio postanowienia § 14.</w:t>
      </w:r>
    </w:p>
    <w:p w14:paraId="2D55E23F" w14:textId="77777777" w:rsidR="003E40B4" w:rsidRDefault="00A31E99" w:rsidP="003E40B4">
      <w:pPr>
        <w:pStyle w:val="Akapitzlist"/>
        <w:numPr>
          <w:ilvl w:val="0"/>
          <w:numId w:val="34"/>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E40B4">
      <w:pPr>
        <w:pStyle w:val="Akapitzlist"/>
        <w:numPr>
          <w:ilvl w:val="1"/>
          <w:numId w:val="33"/>
        </w:numPr>
        <w:spacing w:before="120" w:after="120"/>
        <w:contextualSpacing w:val="0"/>
        <w:jc w:val="both"/>
      </w:pPr>
      <w:bookmarkStart w:id="10"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10"/>
      <w:r>
        <w:t>;</w:t>
      </w:r>
    </w:p>
    <w:p w14:paraId="1C8445BE" w14:textId="1BA91445" w:rsidR="003E40B4" w:rsidRDefault="003E40B4" w:rsidP="002C33B7">
      <w:pPr>
        <w:pStyle w:val="Akapitzlist"/>
        <w:numPr>
          <w:ilvl w:val="1"/>
          <w:numId w:val="33"/>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A4173">
      <w:pPr>
        <w:pStyle w:val="Akapitzlist"/>
        <w:numPr>
          <w:ilvl w:val="6"/>
          <w:numId w:val="25"/>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A4173">
      <w:pPr>
        <w:pStyle w:val="Akapitzlist"/>
        <w:numPr>
          <w:ilvl w:val="6"/>
          <w:numId w:val="25"/>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w:t>
      </w:r>
      <w:r w:rsidR="001A3736">
        <w:rPr>
          <w:rFonts w:ascii="Times New Roman" w:eastAsia="Times New Roman" w:hAnsi="Times New Roman" w:cs="Times New Roman"/>
          <w:color w:val="auto"/>
        </w:rPr>
        <w:lastRenderedPageBreak/>
        <w:t>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55D708D3" w:rsidR="0050422B" w:rsidRPr="00C91237" w:rsidRDefault="00C74406" w:rsidP="00431A02">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w:t>
      </w:r>
      <w:r w:rsidR="00266F85" w:rsidRPr="003A6771">
        <w:rPr>
          <w:rFonts w:ascii="Times New Roman" w:eastAsia="Times New Roman" w:hAnsi="Times New Roman" w:cs="Times New Roman"/>
          <w:color w:val="auto"/>
        </w:rPr>
        <w:t xml:space="preserve">dotyczących trwałości Projektu oraz pomocy publicznej, </w:t>
      </w:r>
      <w:bookmarkStart w:id="11" w:name="_Hlk161752109"/>
      <w:r w:rsidR="00266F85" w:rsidRPr="003A6771">
        <w:rPr>
          <w:rFonts w:ascii="Times New Roman" w:eastAsia="Times New Roman" w:hAnsi="Times New Roman" w:cs="Times New Roman"/>
          <w:color w:val="auto"/>
        </w:rPr>
        <w:t xml:space="preserve">o której mowa w art. 107 ust. 1 </w:t>
      </w:r>
      <w:r w:rsidR="00266F85" w:rsidRPr="003A6771">
        <w:rPr>
          <w:rFonts w:ascii="Times New Roman" w:eastAsia="Times New Roman" w:hAnsi="Times New Roman" w:cs="Times New Roman"/>
          <w:i/>
          <w:color w:val="auto"/>
        </w:rPr>
        <w:t>Traktatu o funkcjonowaniu Unii Europejskiej</w:t>
      </w:r>
      <w:r w:rsidR="00266F85" w:rsidRPr="003A6771">
        <w:rPr>
          <w:rFonts w:ascii="Times New Roman" w:eastAsia="Times New Roman" w:hAnsi="Times New Roman" w:cs="Times New Roman"/>
          <w:color w:val="auto"/>
        </w:rPr>
        <w:t xml:space="preserve">, lub pomocy de </w:t>
      </w:r>
      <w:proofErr w:type="spellStart"/>
      <w:r w:rsidR="00266F85" w:rsidRPr="003A6771">
        <w:rPr>
          <w:rFonts w:ascii="Times New Roman" w:eastAsia="Times New Roman" w:hAnsi="Times New Roman" w:cs="Times New Roman"/>
          <w:color w:val="auto"/>
        </w:rPr>
        <w:t>minimis</w:t>
      </w:r>
      <w:proofErr w:type="spellEnd"/>
      <w:r w:rsidR="00266F85" w:rsidRPr="003A6771">
        <w:rPr>
          <w:rFonts w:ascii="Times New Roman" w:eastAsia="Times New Roman" w:hAnsi="Times New Roman" w:cs="Times New Roman"/>
          <w:color w:val="auto"/>
        </w:rPr>
        <w:t>, o</w:t>
      </w:r>
      <w:r w:rsidR="00266F85">
        <w:rPr>
          <w:rFonts w:ascii="Times New Roman" w:eastAsia="Times New Roman" w:hAnsi="Times New Roman" w:cs="Times New Roman"/>
          <w:color w:val="auto"/>
        </w:rPr>
        <w:t> </w:t>
      </w:r>
      <w:r w:rsidR="00266F85" w:rsidRPr="003A6771">
        <w:rPr>
          <w:rFonts w:ascii="Times New Roman" w:eastAsia="Times New Roman" w:hAnsi="Times New Roman" w:cs="Times New Roman"/>
          <w:color w:val="auto"/>
        </w:rPr>
        <w:t xml:space="preserve">której mowa w </w:t>
      </w:r>
      <w:r w:rsidR="00266F85" w:rsidRPr="003A6771">
        <w:rPr>
          <w:rFonts w:ascii="Times New Roman" w:eastAsia="Times New Roman" w:hAnsi="Times New Roman" w:cs="Times New Roman"/>
          <w:i/>
          <w:color w:val="auto"/>
        </w:rPr>
        <w:t xml:space="preserve">Rozporządzeniu </w:t>
      </w:r>
      <w:r w:rsidR="00266F85" w:rsidRPr="003A6771">
        <w:rPr>
          <w:rFonts w:ascii="Times New Roman" w:hAnsi="Times New Roman" w:cs="Times New Roman"/>
          <w:i/>
          <w:iCs/>
          <w:color w:val="auto"/>
        </w:rPr>
        <w:t xml:space="preserve">de </w:t>
      </w:r>
      <w:proofErr w:type="spellStart"/>
      <w:r w:rsidR="00266F85" w:rsidRPr="003A6771">
        <w:rPr>
          <w:rFonts w:ascii="Times New Roman" w:hAnsi="Times New Roman" w:cs="Times New Roman"/>
          <w:i/>
          <w:iCs/>
          <w:color w:val="auto"/>
        </w:rPr>
        <w:t>minimis</w:t>
      </w:r>
      <w:proofErr w:type="spellEnd"/>
      <w:r w:rsidR="00266F85" w:rsidRPr="003A6771">
        <w:rPr>
          <w:rFonts w:ascii="Times New Roman" w:hAnsi="Times New Roman" w:cs="Times New Roman"/>
          <w:i/>
          <w:color w:val="auto"/>
        </w:rPr>
        <w:t xml:space="preserve"> </w:t>
      </w:r>
      <w:r w:rsidR="00266F85" w:rsidRPr="003A6771">
        <w:rPr>
          <w:rFonts w:ascii="Times New Roman" w:hAnsi="Times New Roman" w:cs="Times New Roman"/>
          <w:color w:val="auto"/>
        </w:rPr>
        <w:t>i w </w:t>
      </w:r>
      <w:bookmarkStart w:id="12" w:name="_Hlk161751311"/>
      <w:r w:rsidR="00266F85" w:rsidRPr="003A6771">
        <w:rPr>
          <w:rFonts w:ascii="Times New Roman" w:hAnsi="Times New Roman" w:cs="Times New Roman"/>
          <w:i/>
          <w:color w:val="auto"/>
        </w:rPr>
        <w:t xml:space="preserve">Rozporządzeniu Komisji (UE) nr </w:t>
      </w:r>
      <w:r w:rsidR="00266F85">
        <w:rPr>
          <w:rFonts w:ascii="Times New Roman" w:hAnsi="Times New Roman" w:cs="Times New Roman"/>
          <w:i/>
          <w:color w:val="auto"/>
        </w:rPr>
        <w:t>2023/2832</w:t>
      </w:r>
      <w:r w:rsidR="00266F85" w:rsidRPr="003A6771">
        <w:rPr>
          <w:rFonts w:ascii="Times New Roman" w:hAnsi="Times New Roman" w:cs="Times New Roman"/>
          <w:i/>
          <w:color w:val="auto"/>
        </w:rPr>
        <w:t xml:space="preserve"> z dnia </w:t>
      </w:r>
      <w:r w:rsidR="00266F85">
        <w:rPr>
          <w:rFonts w:ascii="Times New Roman" w:hAnsi="Times New Roman" w:cs="Times New Roman"/>
          <w:i/>
          <w:color w:val="auto"/>
        </w:rPr>
        <w:t>13 grudnia 2023 r.</w:t>
      </w:r>
      <w:r w:rsidR="00266F85" w:rsidRPr="003A6771">
        <w:rPr>
          <w:rFonts w:ascii="Times New Roman" w:hAnsi="Times New Roman" w:cs="Times New Roman"/>
          <w:i/>
          <w:color w:val="auto"/>
        </w:rPr>
        <w:t xml:space="preserve"> </w:t>
      </w:r>
      <w:bookmarkEnd w:id="12"/>
      <w:r w:rsidR="00266F85" w:rsidRPr="003A6771">
        <w:rPr>
          <w:rFonts w:ascii="Times New Roman" w:hAnsi="Times New Roman" w:cs="Times New Roman"/>
          <w:i/>
          <w:color w:val="auto"/>
        </w:rPr>
        <w:t xml:space="preserve">w sprawie stosowania art. 107 i 108 Traktatu o funkcjonowaniu Unii Europejskiej do pomocy </w:t>
      </w:r>
      <w:r w:rsidR="00266F85" w:rsidRPr="003A6771">
        <w:rPr>
          <w:rFonts w:ascii="Times New Roman" w:hAnsi="Times New Roman" w:cs="Times New Roman"/>
          <w:i/>
          <w:iCs/>
          <w:color w:val="auto"/>
        </w:rPr>
        <w:t xml:space="preserve">de </w:t>
      </w:r>
      <w:proofErr w:type="spellStart"/>
      <w:r w:rsidR="00266F85" w:rsidRPr="003A6771">
        <w:rPr>
          <w:rFonts w:ascii="Times New Roman" w:hAnsi="Times New Roman" w:cs="Times New Roman"/>
          <w:i/>
          <w:iCs/>
          <w:color w:val="auto"/>
        </w:rPr>
        <w:t>minimis</w:t>
      </w:r>
      <w:proofErr w:type="spellEnd"/>
      <w:r w:rsidR="00266F85" w:rsidRPr="003A6771">
        <w:rPr>
          <w:rFonts w:ascii="Times New Roman" w:hAnsi="Times New Roman" w:cs="Times New Roman"/>
          <w:i/>
          <w:iCs/>
          <w:color w:val="auto"/>
        </w:rPr>
        <w:t xml:space="preserve"> </w:t>
      </w:r>
      <w:r w:rsidR="00266F85" w:rsidRPr="003A6771">
        <w:rPr>
          <w:rFonts w:ascii="Times New Roman" w:hAnsi="Times New Roman" w:cs="Times New Roman"/>
          <w:i/>
          <w:color w:val="auto"/>
        </w:rPr>
        <w:t>przyznawanej przedsiębiorstwom wykonującym usługi świadczone w ogólnym interesie gospodarczym</w:t>
      </w:r>
      <w:r w:rsidR="00266F85" w:rsidRPr="003A6771">
        <w:rPr>
          <w:rFonts w:ascii="Times New Roman" w:hAnsi="Times New Roman" w:cs="Times New Roman"/>
          <w:color w:val="auto"/>
        </w:rPr>
        <w:t xml:space="preserve"> oraz podatku VAT, o którym mowa w Ustawie VAT</w:t>
      </w:r>
      <w:r w:rsidR="00266F85" w:rsidRPr="003A6771">
        <w:rPr>
          <w:rFonts w:ascii="Times New Roman" w:eastAsia="Times New Roman" w:hAnsi="Times New Roman" w:cs="Times New Roman"/>
          <w:color w:val="auto"/>
        </w:rPr>
        <w:t>.</w:t>
      </w:r>
      <w:bookmarkEnd w:id="11"/>
    </w:p>
    <w:p w14:paraId="1D8F4C3B" w14:textId="77777777" w:rsidR="00606209"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DC55A2">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15D2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754046">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751799">
      <w:pPr>
        <w:pStyle w:val="Default"/>
        <w:numPr>
          <w:ilvl w:val="0"/>
          <w:numId w:val="21"/>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751799">
      <w:pPr>
        <w:pStyle w:val="Default"/>
        <w:numPr>
          <w:ilvl w:val="1"/>
          <w:numId w:val="21"/>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wglądu do dokumentów dotyczących działalności podmiotu kontrolowanego w zakresie </w:t>
      </w:r>
      <w:r w:rsidRPr="00896804">
        <w:rPr>
          <w:rFonts w:ascii="Times New Roman" w:eastAsia="Times New Roman" w:hAnsi="Times New Roman" w:cs="Times New Roman"/>
          <w:color w:val="auto"/>
        </w:rPr>
        <w:lastRenderedPageBreak/>
        <w:t>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e-</w:t>
      </w:r>
      <w:proofErr w:type="spellStart"/>
      <w:r w:rsidR="006860E0">
        <w:rPr>
          <w:rFonts w:ascii="Times New Roman" w:eastAsia="Times New Roman" w:hAnsi="Times New Roman" w:cs="Times New Roman"/>
          <w:color w:val="auto"/>
        </w:rPr>
        <w:t>puapu</w:t>
      </w:r>
      <w:proofErr w:type="spellEnd"/>
      <w:r w:rsidR="006860E0">
        <w:rPr>
          <w:rFonts w:ascii="Times New Roman" w:eastAsia="Times New Roman" w:hAnsi="Times New Roman" w:cs="Times New Roman"/>
          <w:color w:val="auto"/>
        </w:rPr>
        <w:t xml:space="preserve">,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pPr>
        <w:pStyle w:val="Default"/>
        <w:numPr>
          <w:ilvl w:val="0"/>
          <w:numId w:val="21"/>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AB65F6">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606C17">
      <w:pPr>
        <w:pStyle w:val="Default"/>
        <w:numPr>
          <w:ilvl w:val="0"/>
          <w:numId w:val="21"/>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431A02">
      <w:pPr>
        <w:pStyle w:val="Default"/>
        <w:numPr>
          <w:ilvl w:val="0"/>
          <w:numId w:val="21"/>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P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lastRenderedPageBreak/>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4F168A19" w14:textId="6142FD6E"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Pr>
          <w:rFonts w:eastAsiaTheme="minorHAnsi"/>
          <w:color w:val="000000"/>
          <w:lang w:eastAsia="en-US"/>
        </w:rPr>
        <w:t>5</w:t>
      </w:r>
      <w:r w:rsidRPr="002213FA">
        <w:rPr>
          <w:rFonts w:eastAsiaTheme="minorHAnsi"/>
          <w:color w:val="000000"/>
          <w:lang w:eastAsia="en-US"/>
        </w:rPr>
        <w:t>,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eneficjenta, 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F15D21">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pPr>
        <w:pStyle w:val="Akapitzlist"/>
        <w:numPr>
          <w:ilvl w:val="0"/>
          <w:numId w:val="23"/>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B50C52">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B50C52">
      <w:pPr>
        <w:pStyle w:val="Akapitzlist"/>
        <w:numPr>
          <w:ilvl w:val="0"/>
          <w:numId w:val="23"/>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Pr="00F3554E" w:rsidRDefault="00C362B2">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lastRenderedPageBreak/>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AE5262">
      <w:pPr>
        <w:numPr>
          <w:ilvl w:val="0"/>
          <w:numId w:val="119"/>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lastRenderedPageBreak/>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F074D">
      <w:pPr>
        <w:numPr>
          <w:ilvl w:val="0"/>
          <w:numId w:val="119"/>
        </w:numPr>
        <w:autoSpaceDE w:val="0"/>
        <w:autoSpaceDN w:val="0"/>
        <w:adjustRightInd w:val="0"/>
        <w:spacing w:before="120" w:after="120"/>
        <w:jc w:val="both"/>
        <w:rPr>
          <w:bCs/>
        </w:rPr>
      </w:pPr>
      <w:r w:rsidRPr="005B5CB0">
        <w:rPr>
          <w:bCs/>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F074D">
      <w:pPr>
        <w:numPr>
          <w:ilvl w:val="0"/>
          <w:numId w:val="119"/>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lastRenderedPageBreak/>
        <w:t>Umowa została sporządzona w dwóch jednobrzmiących egzemplarzach, po jednym dla każdej ze Stron.</w:t>
      </w:r>
    </w:p>
    <w:p w14:paraId="1FF649E0" w14:textId="7D459694" w:rsidR="0051417D" w:rsidRPr="00896804" w:rsidRDefault="0051417D" w:rsidP="0051417D">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4DD48289" w14:textId="14A9E9D0" w:rsidR="000123B9" w:rsidRDefault="000123B9" w:rsidP="004127FD">
      <w:pPr>
        <w:autoSpaceDE w:val="0"/>
        <w:autoSpaceDN w:val="0"/>
        <w:adjustRightInd w:val="0"/>
        <w:spacing w:before="120" w:after="120"/>
        <w:ind w:left="567"/>
        <w:jc w:val="both"/>
      </w:pPr>
      <w:r>
        <w:rPr>
          <w:b/>
          <w:bCs/>
        </w:rPr>
        <w:t xml:space="preserve">Załącznik nr </w:t>
      </w:r>
      <w:r w:rsidR="00606C17">
        <w:rPr>
          <w:b/>
          <w:bCs/>
        </w:rPr>
        <w:t>4</w:t>
      </w:r>
      <w:r>
        <w:rPr>
          <w:b/>
          <w:bCs/>
        </w:rPr>
        <w:t xml:space="preserve"> –</w:t>
      </w:r>
      <w:r>
        <w:t xml:space="preserve"> </w:t>
      </w:r>
      <w:r w:rsidRPr="000123B9">
        <w:t>Mechanizm monitorowania i wycofania w przypadku finansowania infrastruktury b</w:t>
      </w:r>
      <w:r>
        <w:t>adawczej ze środków publicznych</w:t>
      </w:r>
      <w:r w:rsidR="001B5655">
        <w:t>;</w:t>
      </w:r>
    </w:p>
    <w:p w14:paraId="6CA09C48" w14:textId="557B87B5" w:rsidR="002B2980" w:rsidRDefault="002B2980" w:rsidP="004127FD">
      <w:pPr>
        <w:autoSpaceDE w:val="0"/>
        <w:autoSpaceDN w:val="0"/>
        <w:adjustRightInd w:val="0"/>
        <w:spacing w:before="120" w:after="120"/>
        <w:ind w:left="567"/>
        <w:jc w:val="both"/>
      </w:pPr>
      <w:r w:rsidRPr="00F049D3">
        <w:rPr>
          <w:b/>
          <w:bCs/>
        </w:rPr>
        <w:t xml:space="preserve">Załącznik nr </w:t>
      </w:r>
      <w:r w:rsidR="00606C17">
        <w:rPr>
          <w:b/>
          <w:bCs/>
        </w:rPr>
        <w:t>5</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7F121EF7" w:rsidR="004A53C0" w:rsidRDefault="004A53C0" w:rsidP="004127FD">
      <w:pPr>
        <w:autoSpaceDE w:val="0"/>
        <w:autoSpaceDN w:val="0"/>
        <w:adjustRightInd w:val="0"/>
        <w:spacing w:before="120" w:after="120"/>
        <w:ind w:left="567"/>
        <w:jc w:val="both"/>
      </w:pPr>
      <w:r w:rsidRPr="002B2980">
        <w:rPr>
          <w:b/>
        </w:rPr>
        <w:t xml:space="preserve">Załącznik nr </w:t>
      </w:r>
      <w:r w:rsidR="00606C17">
        <w:rPr>
          <w:b/>
        </w:rPr>
        <w:t>6</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49DD3DC6" w:rsidR="001C3AB5" w:rsidRDefault="00DC1843" w:rsidP="004127FD">
      <w:pPr>
        <w:autoSpaceDE w:val="0"/>
        <w:autoSpaceDN w:val="0"/>
        <w:adjustRightInd w:val="0"/>
        <w:spacing w:before="120" w:after="120"/>
        <w:ind w:left="567"/>
        <w:jc w:val="both"/>
      </w:pPr>
      <w:r w:rsidRPr="001B6FED">
        <w:rPr>
          <w:b/>
        </w:rPr>
        <w:t xml:space="preserve">Załącznik nr </w:t>
      </w:r>
      <w:r w:rsidR="007544FD">
        <w:rPr>
          <w:b/>
        </w:rPr>
        <w:t>7</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BA1F5B">
        <w:t xml:space="preserve"> </w:t>
      </w:r>
      <w:r w:rsidR="001C3AB5" w:rsidRPr="001C3AB5">
        <w:t>w zakresie informacji i promocji</w:t>
      </w:r>
      <w:r w:rsidR="001C3AB5">
        <w:t>;</w:t>
      </w:r>
    </w:p>
    <w:p w14:paraId="62068C26" w14:textId="57DA2A95" w:rsidR="00DC1843" w:rsidRDefault="00DC1843" w:rsidP="004127FD">
      <w:pPr>
        <w:autoSpaceDE w:val="0"/>
        <w:autoSpaceDN w:val="0"/>
        <w:adjustRightInd w:val="0"/>
        <w:spacing w:before="120" w:after="120"/>
        <w:ind w:left="567"/>
        <w:jc w:val="both"/>
      </w:pPr>
      <w:r w:rsidRPr="001B6FED">
        <w:rPr>
          <w:b/>
        </w:rPr>
        <w:t xml:space="preserve">Załącznik nr </w:t>
      </w:r>
      <w:r w:rsidR="007544FD">
        <w:rPr>
          <w:b/>
        </w:rPr>
        <w:t>8</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790F7234" w:rsidR="00351AAF" w:rsidRDefault="00351AAF" w:rsidP="004127FD">
      <w:pPr>
        <w:autoSpaceDE w:val="0"/>
        <w:autoSpaceDN w:val="0"/>
        <w:adjustRightInd w:val="0"/>
        <w:spacing w:before="120" w:after="120"/>
        <w:ind w:left="567"/>
        <w:jc w:val="both"/>
      </w:pPr>
      <w:r>
        <w:rPr>
          <w:b/>
        </w:rPr>
        <w:t xml:space="preserve">Załącznik nr 9 </w:t>
      </w:r>
      <w:r>
        <w:t xml:space="preserve">– </w:t>
      </w:r>
      <w:r w:rsidRPr="00351AAF">
        <w:t>Zasady dofinansowania projektu realizowanego w formule „zaprojektuj i</w:t>
      </w:r>
      <w:r>
        <w:t> </w:t>
      </w:r>
      <w:r w:rsidRPr="00351AAF">
        <w:t>wybuduj”</w:t>
      </w:r>
      <w:r>
        <w:t>;</w:t>
      </w:r>
    </w:p>
    <w:p w14:paraId="4A7780A5" w14:textId="2C16E716" w:rsidR="00BA1F5B" w:rsidRDefault="00BA1F5B" w:rsidP="004127FD">
      <w:pPr>
        <w:autoSpaceDE w:val="0"/>
        <w:autoSpaceDN w:val="0"/>
        <w:adjustRightInd w:val="0"/>
        <w:spacing w:before="120" w:after="120"/>
        <w:ind w:left="567"/>
        <w:jc w:val="both"/>
      </w:pPr>
      <w:bookmarkStart w:id="13" w:name="_Hlk159879473"/>
      <w:r w:rsidRPr="00BA1F5B">
        <w:rPr>
          <w:b/>
          <w:bCs/>
        </w:rPr>
        <w:t xml:space="preserve">Załącznik nr </w:t>
      </w:r>
      <w:r>
        <w:rPr>
          <w:b/>
          <w:bCs/>
        </w:rPr>
        <w:t>10</w:t>
      </w:r>
      <w:r w:rsidRPr="00BA1F5B">
        <w:rPr>
          <w:b/>
          <w:bCs/>
        </w:rPr>
        <w:t xml:space="preserve"> </w:t>
      </w:r>
      <w:r w:rsidRPr="00BA1F5B">
        <w:t>– Szczegółowe zasady nakładania korekt finansowych za nieosiągnięcie lub nieutrzymanie wskaźników produktu lub rezultatu</w:t>
      </w:r>
      <w:r>
        <w:t>;</w:t>
      </w:r>
      <w:bookmarkEnd w:id="13"/>
    </w:p>
    <w:p w14:paraId="3947F804" w14:textId="5FC6DF02" w:rsidR="0010686A" w:rsidRDefault="0010686A" w:rsidP="0010686A">
      <w:pPr>
        <w:autoSpaceDE w:val="0"/>
        <w:autoSpaceDN w:val="0"/>
        <w:adjustRightInd w:val="0"/>
        <w:spacing w:before="120" w:after="120"/>
        <w:ind w:left="567"/>
        <w:jc w:val="both"/>
      </w:pPr>
      <w:r>
        <w:rPr>
          <w:b/>
        </w:rPr>
        <w:t xml:space="preserve">Załącznik nr 11 </w:t>
      </w:r>
      <w:r>
        <w:t xml:space="preserve">– </w:t>
      </w:r>
      <w:r w:rsidRPr="00DA6ABB">
        <w:t xml:space="preserve">Mechanizm monitorowania i wycofania w przypadku wykorzystania infrastruktury na cele prowadzenia działalności gospodarczej o charakterze pomocniczym (dotyczy instalacji OZE nieobjętej pomocą publiczną/de </w:t>
      </w:r>
      <w:proofErr w:type="spellStart"/>
      <w:r w:rsidRPr="00DA6ABB">
        <w:t>minimis</w:t>
      </w:r>
      <w:proofErr w:type="spellEnd"/>
      <w:r w:rsidRPr="00DA6ABB">
        <w:t xml:space="preserve"> dla naborów dedykowanych OZE lub jeśli instalacja OZE jest elementem uzupełniającym)</w:t>
      </w:r>
      <w:r>
        <w:t>.</w:t>
      </w:r>
    </w:p>
    <w:p w14:paraId="72169C6E" w14:textId="34D99A9C" w:rsidR="004127FD" w:rsidRDefault="004127FD" w:rsidP="004127FD">
      <w:pPr>
        <w:autoSpaceDE w:val="0"/>
        <w:autoSpaceDN w:val="0"/>
        <w:adjustRightInd w:val="0"/>
        <w:spacing w:before="120" w:after="120"/>
        <w:ind w:left="567"/>
        <w:jc w:val="both"/>
      </w:pPr>
      <w:r>
        <w:rPr>
          <w:b/>
        </w:rPr>
        <w:t xml:space="preserve">Załącznik nr </w:t>
      </w:r>
      <w:r w:rsidR="00BA1F5B">
        <w:rPr>
          <w:b/>
        </w:rPr>
        <w:t>1</w:t>
      </w:r>
      <w:r w:rsidR="0010686A">
        <w:rPr>
          <w:b/>
        </w:rPr>
        <w:t>2</w:t>
      </w:r>
      <w:r w:rsidR="00BA1F5B">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78D40AB4" w14:textId="5ECBF1E8" w:rsidR="00FE2C18" w:rsidRDefault="00FE2C18">
      <w:pPr>
        <w:pStyle w:val="Nagwek"/>
        <w:jc w:val="right"/>
        <w:rPr>
          <w:iCs/>
        </w:rPr>
      </w:pPr>
    </w:p>
    <w:p w14:paraId="510C2859" w14:textId="25D71088" w:rsidR="00FE2C18" w:rsidRDefault="00FE2C18">
      <w:pPr>
        <w:pStyle w:val="Nagwek"/>
        <w:jc w:val="right"/>
        <w:rPr>
          <w:iCs/>
        </w:rPr>
      </w:pPr>
    </w:p>
    <w:p w14:paraId="6299043E" w14:textId="77777777" w:rsidR="00326A90" w:rsidRDefault="00326A90">
      <w:pPr>
        <w:pStyle w:val="Nagwek"/>
        <w:jc w:val="right"/>
        <w:rPr>
          <w:iCs/>
        </w:rPr>
      </w:pPr>
    </w:p>
    <w:p w14:paraId="7B3A2BB4" w14:textId="77777777" w:rsidR="00326A90" w:rsidRDefault="00326A90">
      <w:pPr>
        <w:pStyle w:val="Nagwek"/>
        <w:jc w:val="right"/>
        <w:rPr>
          <w:iCs/>
        </w:rPr>
      </w:pPr>
    </w:p>
    <w:p w14:paraId="75ED5FFD" w14:textId="77777777" w:rsidR="00326A90" w:rsidRDefault="00326A90">
      <w:pPr>
        <w:pStyle w:val="Nagwek"/>
        <w:jc w:val="right"/>
        <w:rPr>
          <w:iCs/>
        </w:rPr>
      </w:pPr>
    </w:p>
    <w:p w14:paraId="5FB50A6F" w14:textId="77777777" w:rsidR="00326A90" w:rsidRDefault="00326A90">
      <w:pPr>
        <w:pStyle w:val="Nagwek"/>
        <w:jc w:val="right"/>
        <w:rPr>
          <w:iCs/>
        </w:rPr>
      </w:pPr>
    </w:p>
    <w:p w14:paraId="27AB366F" w14:textId="77777777" w:rsidR="00326A90" w:rsidRDefault="00326A90">
      <w:pPr>
        <w:pStyle w:val="Nagwek"/>
        <w:jc w:val="right"/>
        <w:rPr>
          <w:iCs/>
        </w:rPr>
      </w:pPr>
    </w:p>
    <w:p w14:paraId="4C2D18AF" w14:textId="77777777" w:rsidR="00326A90" w:rsidRDefault="00326A90">
      <w:pPr>
        <w:pStyle w:val="Nagwek"/>
        <w:jc w:val="right"/>
        <w:rPr>
          <w:iCs/>
        </w:rPr>
      </w:pPr>
    </w:p>
    <w:p w14:paraId="31B63C50" w14:textId="77777777" w:rsidR="00751799" w:rsidRDefault="00751799">
      <w:pPr>
        <w:pStyle w:val="Nagwek"/>
        <w:jc w:val="right"/>
        <w:rPr>
          <w:iCs/>
        </w:rPr>
      </w:pPr>
    </w:p>
    <w:p w14:paraId="194A541E" w14:textId="77777777" w:rsidR="00751799" w:rsidRDefault="00751799">
      <w:pPr>
        <w:pStyle w:val="Nagwek"/>
        <w:jc w:val="right"/>
        <w:rPr>
          <w:iCs/>
        </w:rPr>
      </w:pPr>
    </w:p>
    <w:p w14:paraId="70609102" w14:textId="77777777" w:rsidR="00751799" w:rsidRDefault="00751799">
      <w:pPr>
        <w:pStyle w:val="Nagwek"/>
        <w:jc w:val="right"/>
        <w:rPr>
          <w:iCs/>
        </w:rPr>
      </w:pPr>
    </w:p>
    <w:p w14:paraId="12EA59F6" w14:textId="77777777" w:rsidR="00751799" w:rsidRDefault="00751799">
      <w:pPr>
        <w:pStyle w:val="Nagwek"/>
        <w:jc w:val="right"/>
        <w:rPr>
          <w:iCs/>
        </w:rPr>
      </w:pPr>
    </w:p>
    <w:p w14:paraId="586EFFA3" w14:textId="77777777" w:rsidR="00751799" w:rsidRDefault="00751799">
      <w:pPr>
        <w:pStyle w:val="Nagwek"/>
        <w:jc w:val="right"/>
        <w:rPr>
          <w:iCs/>
        </w:rPr>
      </w:pPr>
    </w:p>
    <w:p w14:paraId="58AC1571" w14:textId="77777777" w:rsidR="00751799" w:rsidRDefault="00751799">
      <w:pPr>
        <w:pStyle w:val="Nagwek"/>
        <w:jc w:val="right"/>
        <w:rPr>
          <w:iCs/>
        </w:rPr>
      </w:pPr>
    </w:p>
    <w:p w14:paraId="007E166F" w14:textId="77777777" w:rsidR="00751799" w:rsidRDefault="00751799">
      <w:pPr>
        <w:pStyle w:val="Nagwek"/>
        <w:jc w:val="right"/>
        <w:rPr>
          <w:iCs/>
        </w:rPr>
      </w:pPr>
    </w:p>
    <w:p w14:paraId="28107A86" w14:textId="77777777" w:rsidR="00751799" w:rsidRDefault="00751799">
      <w:pPr>
        <w:pStyle w:val="Nagwek"/>
        <w:jc w:val="right"/>
        <w:rPr>
          <w:iCs/>
        </w:rPr>
      </w:pPr>
    </w:p>
    <w:p w14:paraId="7B286673" w14:textId="77777777" w:rsidR="00F052A1" w:rsidRDefault="00F052A1">
      <w:pPr>
        <w:pStyle w:val="Nagwek"/>
        <w:jc w:val="right"/>
        <w:rPr>
          <w:iCs/>
        </w:rPr>
      </w:pPr>
    </w:p>
    <w:p w14:paraId="5378E6F7" w14:textId="77777777" w:rsidR="00751799" w:rsidRDefault="00751799" w:rsidP="0017428E">
      <w:pPr>
        <w:pStyle w:val="Nagwek"/>
        <w:rPr>
          <w:iCs/>
        </w:rPr>
      </w:pPr>
    </w:p>
    <w:p w14:paraId="3735770F" w14:textId="77777777" w:rsidR="00EF1AD8" w:rsidRDefault="00EF1AD8">
      <w:pPr>
        <w:pStyle w:val="Nagwek"/>
        <w:jc w:val="right"/>
        <w:rPr>
          <w:iCs/>
        </w:rPr>
      </w:pPr>
    </w:p>
    <w:p w14:paraId="469B5E03" w14:textId="77777777" w:rsidR="00EF1AD8" w:rsidRDefault="00EF1AD8">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514B79B0" w14:textId="77777777" w:rsidR="00F11582" w:rsidRPr="001D7753" w:rsidRDefault="00F11582" w:rsidP="001D7753">
      <w:pPr>
        <w:suppressAutoHyphens/>
        <w:autoSpaceDN w:val="0"/>
        <w:spacing w:after="160" w:line="251" w:lineRule="auto"/>
        <w:ind w:left="360"/>
        <w:jc w:val="both"/>
        <w:textAlignment w:val="baseline"/>
        <w:rPr>
          <w:rFonts w:eastAsia="Calibri"/>
          <w:b/>
          <w:bCs/>
          <w:lang w:eastAsia="en-US"/>
        </w:rPr>
      </w:pP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1D7753">
      <w:pPr>
        <w:numPr>
          <w:ilvl w:val="0"/>
          <w:numId w:val="98"/>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w:t>
      </w:r>
      <w:r w:rsidR="00B71A60" w:rsidRPr="00B71A60">
        <w:rPr>
          <w:color w:val="000000"/>
          <w:shd w:val="clear" w:color="auto" w:fill="FFFFFF"/>
        </w:rPr>
        <w:lastRenderedPageBreak/>
        <w:t>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18" w:history="1">
        <w:r w:rsidRPr="00B71A60">
          <w:rPr>
            <w:rFonts w:eastAsia="Calibri"/>
            <w:color w:val="0563C1"/>
            <w:u w:val="single"/>
            <w:lang w:eastAsia="en-US"/>
          </w:rPr>
          <w:t>kancelaria@podlaskie.eu</w:t>
        </w:r>
      </w:hyperlink>
      <w:r w:rsidRPr="00B71A60">
        <w:rPr>
          <w:rFonts w:eastAsia="Calibri"/>
          <w:lang w:eastAsia="en-US"/>
        </w:rPr>
        <w:t>,  </w:t>
      </w:r>
      <w:hyperlink r:id="rId19"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1D7753">
      <w:pPr>
        <w:numPr>
          <w:ilvl w:val="0"/>
          <w:numId w:val="98"/>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0"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1D7753">
      <w:pPr>
        <w:numPr>
          <w:ilvl w:val="0"/>
          <w:numId w:val="98"/>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14" w:name="_Hlk124840872"/>
      <w:r w:rsidRPr="001D7753">
        <w:rPr>
          <w:rFonts w:eastAsia="Calibri"/>
          <w:lang w:eastAsia="en-US"/>
        </w:rPr>
        <w:t xml:space="preserve">będą przetwarzane </w:t>
      </w:r>
      <w:bookmarkEnd w:id="14"/>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1D7753">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62196A49"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E928D9">
      <w:pPr>
        <w:numPr>
          <w:ilvl w:val="0"/>
          <w:numId w:val="99"/>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 xml:space="preserve">Ustawie z 27 sierpnia 2009 r. o finansach publicznych. </w:t>
      </w:r>
    </w:p>
    <w:p w14:paraId="1C9C5E6B" w14:textId="7AE4751F" w:rsidR="001D7753" w:rsidRPr="001D7753" w:rsidRDefault="001D7753" w:rsidP="001D7753">
      <w:pPr>
        <w:numPr>
          <w:ilvl w:val="0"/>
          <w:numId w:val="100"/>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0E0BAC91" w:rsidR="001D7753" w:rsidRDefault="001D7753" w:rsidP="001D7753">
      <w:pPr>
        <w:numPr>
          <w:ilvl w:val="0"/>
          <w:numId w:val="100"/>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w:t>
      </w:r>
      <w:r w:rsidR="00F11582">
        <w:rPr>
          <w:rFonts w:eastAsia="Calibri"/>
          <w:lang w:eastAsia="en-US"/>
        </w:rPr>
        <w:t xml:space="preserve">umowy </w:t>
      </w:r>
      <w:r w:rsidRPr="001D7753">
        <w:rPr>
          <w:rFonts w:eastAsia="Calibri"/>
          <w:lang w:eastAsia="en-US"/>
        </w:rPr>
        <w:t>o dofinansowanie projektu w ramach FEdP 2021-2027.</w:t>
      </w:r>
    </w:p>
    <w:p w14:paraId="32521D9F" w14:textId="77777777" w:rsidR="00F11582" w:rsidRPr="00F11582" w:rsidRDefault="00F11582" w:rsidP="00F11582">
      <w:pPr>
        <w:numPr>
          <w:ilvl w:val="0"/>
          <w:numId w:val="154"/>
        </w:numPr>
        <w:suppressAutoHyphens/>
        <w:autoSpaceDN w:val="0"/>
        <w:spacing w:after="160"/>
        <w:textAlignment w:val="baseline"/>
        <w:rPr>
          <w:lang w:eastAsia="en-US"/>
        </w:rPr>
      </w:pPr>
      <w:r w:rsidRPr="00F11582">
        <w:rPr>
          <w:rFonts w:eastAsia="Calibri"/>
          <w:lang w:eastAsia="en-US"/>
        </w:rPr>
        <w:t xml:space="preserve"> </w:t>
      </w:r>
      <w:r w:rsidRPr="00F11582">
        <w:rPr>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3473182"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Ministrowi właściwemu do spraw rozwoju regionalnego;</w:t>
      </w:r>
    </w:p>
    <w:p w14:paraId="2D430C6A"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Ministrowi właściwemu do spraw finansów publicznych;</w:t>
      </w:r>
    </w:p>
    <w:p w14:paraId="003FFD3A"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Instytucjom audytowym, w tym Szefowi Krajowej Administracji Skarbowej;</w:t>
      </w:r>
    </w:p>
    <w:p w14:paraId="31E24ED2"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Lokalnym Grupom Działania;</w:t>
      </w:r>
    </w:p>
    <w:p w14:paraId="51F6A355" w14:textId="77777777" w:rsidR="00F11582" w:rsidRPr="00F11582" w:rsidRDefault="00F11582" w:rsidP="00F11582">
      <w:pPr>
        <w:pStyle w:val="Akapitzlist"/>
        <w:numPr>
          <w:ilvl w:val="2"/>
          <w:numId w:val="20"/>
        </w:numPr>
        <w:suppressAutoHyphens/>
        <w:autoSpaceDN w:val="0"/>
        <w:spacing w:after="160"/>
        <w:textAlignment w:val="baseline"/>
        <w:rPr>
          <w:lang w:eastAsia="en-US"/>
        </w:rPr>
      </w:pPr>
      <w:r w:rsidRPr="00F11582">
        <w:rPr>
          <w:lang w:eastAsia="en-US"/>
        </w:rPr>
        <w:t>Komisji Europejskiej.</w:t>
      </w:r>
    </w:p>
    <w:p w14:paraId="7DE4E252" w14:textId="77777777" w:rsidR="00F11582" w:rsidRPr="00F11582" w:rsidRDefault="00F11582" w:rsidP="00F11582">
      <w:pPr>
        <w:numPr>
          <w:ilvl w:val="0"/>
          <w:numId w:val="154"/>
        </w:numPr>
        <w:suppressAutoHyphens/>
        <w:autoSpaceDN w:val="0"/>
        <w:spacing w:after="160"/>
        <w:textAlignment w:val="baseline"/>
        <w:rPr>
          <w:lang w:eastAsia="en-US"/>
        </w:rPr>
      </w:pPr>
      <w:r w:rsidRPr="00F11582">
        <w:rPr>
          <w:lang w:eastAsia="en-US"/>
        </w:rPr>
        <w:lastRenderedPageBreak/>
        <w:t xml:space="preserve">Dane osobowe mogą być również udostępniane innym podmiotom na podstawie odrębnych umów powierzenia przetwarzania w określonym zakresie, odpowiednio: </w:t>
      </w:r>
    </w:p>
    <w:p w14:paraId="50CB59F3" w14:textId="77777777" w:rsidR="00F11582" w:rsidRPr="00F11582" w:rsidRDefault="00F11582" w:rsidP="00F11582">
      <w:pPr>
        <w:pStyle w:val="Akapitzlist"/>
        <w:numPr>
          <w:ilvl w:val="2"/>
          <w:numId w:val="153"/>
        </w:numPr>
        <w:suppressAutoHyphens/>
        <w:autoSpaceDN w:val="0"/>
        <w:spacing w:after="160"/>
        <w:textAlignment w:val="baseline"/>
        <w:rPr>
          <w:lang w:eastAsia="en-US"/>
        </w:rPr>
      </w:pPr>
      <w:r w:rsidRPr="00F11582">
        <w:rPr>
          <w:lang w:eastAsia="en-US"/>
        </w:rPr>
        <w:t>podmiotom, którym zlecono wykonywanie zadań w FEdP 2021-2027 (podmioty wykonujące badania ewaluacyjne, podmioty wykonujące zadania z zakresu promocji);</w:t>
      </w:r>
    </w:p>
    <w:p w14:paraId="2446AA5A" w14:textId="77777777" w:rsidR="00F11582" w:rsidRPr="00F11582" w:rsidRDefault="00F11582" w:rsidP="00F11582">
      <w:pPr>
        <w:pStyle w:val="Akapitzlist"/>
        <w:numPr>
          <w:ilvl w:val="2"/>
          <w:numId w:val="153"/>
        </w:numPr>
        <w:suppressAutoHyphens/>
        <w:autoSpaceDN w:val="0"/>
        <w:spacing w:after="160"/>
        <w:textAlignment w:val="baseline"/>
        <w:rPr>
          <w:lang w:eastAsia="en-US"/>
        </w:rPr>
      </w:pPr>
      <w:r w:rsidRPr="00F11582">
        <w:rPr>
          <w:lang w:eastAsia="en-US"/>
        </w:rPr>
        <w:t>podmiotom świadczącym usługi IT;</w:t>
      </w:r>
    </w:p>
    <w:p w14:paraId="287737C5" w14:textId="6B23FC34" w:rsidR="00F11582" w:rsidRPr="00F11582" w:rsidRDefault="00F11582" w:rsidP="00F11582">
      <w:pPr>
        <w:pStyle w:val="Akapitzlist"/>
        <w:numPr>
          <w:ilvl w:val="2"/>
          <w:numId w:val="153"/>
        </w:numPr>
        <w:suppressAutoHyphens/>
        <w:autoSpaceDN w:val="0"/>
        <w:spacing w:after="160"/>
        <w:textAlignment w:val="baseline"/>
        <w:rPr>
          <w:lang w:eastAsia="en-US"/>
        </w:rPr>
      </w:pPr>
      <w:r w:rsidRPr="00F11582">
        <w:rPr>
          <w:lang w:eastAsia="en-US"/>
        </w:rPr>
        <w:t>podmiotom świadczącym usługi związane z archiwizacją.</w:t>
      </w:r>
    </w:p>
    <w:p w14:paraId="326641DB"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bookmarkStart w:id="15"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5"/>
      <w:r w:rsidRPr="001D7753">
        <w:rPr>
          <w:rFonts w:eastAsia="Calibri"/>
          <w:lang w:eastAsia="en-US"/>
        </w:rPr>
        <w:t>.</w:t>
      </w:r>
    </w:p>
    <w:p w14:paraId="4E560584"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F11582">
      <w:pPr>
        <w:numPr>
          <w:ilvl w:val="0"/>
          <w:numId w:val="155"/>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30089F36" w14:textId="77777777" w:rsidR="00F11582" w:rsidRDefault="00F11582" w:rsidP="001D7753">
      <w:pPr>
        <w:jc w:val="both"/>
        <w:rPr>
          <w:rFonts w:eastAsia="Calibri"/>
          <w:bCs/>
          <w:smallCaps/>
        </w:rPr>
      </w:pPr>
    </w:p>
    <w:p w14:paraId="612FE9BB" w14:textId="77777777" w:rsidR="00F11582" w:rsidRDefault="00F11582" w:rsidP="001D7753">
      <w:pPr>
        <w:jc w:val="both"/>
        <w:rPr>
          <w:rFonts w:eastAsia="Calibri"/>
          <w:bCs/>
          <w:smallCaps/>
        </w:rPr>
      </w:pPr>
    </w:p>
    <w:p w14:paraId="0FD1D421" w14:textId="77777777" w:rsidR="00F11582" w:rsidRDefault="00F11582" w:rsidP="001D7753">
      <w:pPr>
        <w:jc w:val="both"/>
        <w:rPr>
          <w:rFonts w:eastAsia="Calibri"/>
          <w:bCs/>
          <w:smallCaps/>
        </w:rPr>
      </w:pPr>
    </w:p>
    <w:p w14:paraId="55827215" w14:textId="77777777" w:rsidR="00F11582" w:rsidRDefault="00F11582" w:rsidP="001D7753">
      <w:pPr>
        <w:jc w:val="both"/>
        <w:rPr>
          <w:rFonts w:eastAsia="Calibri"/>
          <w:bCs/>
          <w:smallCaps/>
        </w:rPr>
      </w:pPr>
    </w:p>
    <w:p w14:paraId="2DF636DD" w14:textId="77777777" w:rsidR="00F11582" w:rsidRDefault="00F11582" w:rsidP="001D7753">
      <w:pPr>
        <w:jc w:val="both"/>
        <w:rPr>
          <w:rFonts w:eastAsia="Calibri"/>
          <w:bCs/>
          <w:smallCaps/>
        </w:rPr>
      </w:pPr>
    </w:p>
    <w:p w14:paraId="195A3D53" w14:textId="77777777" w:rsidR="00F11582" w:rsidRDefault="00F11582" w:rsidP="001D7753">
      <w:pPr>
        <w:jc w:val="both"/>
        <w:rPr>
          <w:rFonts w:eastAsia="Calibri"/>
          <w:bCs/>
          <w:smallCaps/>
        </w:rPr>
      </w:pPr>
    </w:p>
    <w:p w14:paraId="181C8D45" w14:textId="77777777" w:rsidR="00F11582" w:rsidRDefault="00F11582" w:rsidP="001D7753">
      <w:pPr>
        <w:jc w:val="both"/>
        <w:rPr>
          <w:rFonts w:eastAsia="Calibri"/>
          <w:bCs/>
          <w:smallCaps/>
        </w:rPr>
      </w:pPr>
    </w:p>
    <w:p w14:paraId="66208B8E" w14:textId="77777777" w:rsidR="00F11582" w:rsidRDefault="00F11582" w:rsidP="001D7753">
      <w:pPr>
        <w:jc w:val="both"/>
        <w:rPr>
          <w:rFonts w:eastAsia="Calibri"/>
          <w:bCs/>
          <w:smallCaps/>
        </w:rPr>
      </w:pPr>
    </w:p>
    <w:p w14:paraId="09C94940" w14:textId="77777777" w:rsidR="00F11582" w:rsidRDefault="00F11582" w:rsidP="001D7753">
      <w:pPr>
        <w:jc w:val="both"/>
        <w:rPr>
          <w:rFonts w:eastAsia="Calibri"/>
          <w:bCs/>
          <w:smallCaps/>
        </w:rPr>
      </w:pPr>
    </w:p>
    <w:p w14:paraId="5D5A9CD9" w14:textId="77777777" w:rsidR="00F11582" w:rsidRDefault="00F11582" w:rsidP="001D7753">
      <w:pPr>
        <w:jc w:val="both"/>
        <w:rPr>
          <w:rFonts w:eastAsia="Calibri"/>
          <w:bCs/>
          <w:smallCaps/>
        </w:rPr>
      </w:pPr>
    </w:p>
    <w:p w14:paraId="7E5ED46B" w14:textId="77777777" w:rsidR="00F11582" w:rsidRDefault="00F11582" w:rsidP="001D7753">
      <w:pPr>
        <w:jc w:val="both"/>
        <w:rPr>
          <w:rFonts w:eastAsia="Calibri"/>
          <w:bCs/>
          <w:smallCaps/>
        </w:rPr>
      </w:pPr>
    </w:p>
    <w:p w14:paraId="2FBF9AD9" w14:textId="77777777" w:rsidR="00F11582" w:rsidRDefault="00F11582" w:rsidP="001D7753">
      <w:pPr>
        <w:jc w:val="both"/>
        <w:rPr>
          <w:rFonts w:eastAsia="Calibri"/>
          <w:bCs/>
          <w:smallCaps/>
        </w:rPr>
      </w:pPr>
    </w:p>
    <w:p w14:paraId="11FEDAD3" w14:textId="77777777" w:rsidR="00F11582" w:rsidRDefault="00F11582" w:rsidP="001D7753">
      <w:pPr>
        <w:jc w:val="both"/>
        <w:rPr>
          <w:rFonts w:eastAsia="Calibri"/>
          <w:bCs/>
          <w:smallCaps/>
        </w:rPr>
      </w:pPr>
    </w:p>
    <w:p w14:paraId="355E99C0" w14:textId="77777777" w:rsidR="00F11582" w:rsidRDefault="00F11582" w:rsidP="001D7753">
      <w:pPr>
        <w:jc w:val="both"/>
        <w:rPr>
          <w:rFonts w:eastAsia="Calibri"/>
          <w:bCs/>
          <w:smallCaps/>
        </w:rPr>
      </w:pPr>
    </w:p>
    <w:p w14:paraId="4DFE2B97" w14:textId="77777777" w:rsidR="00F11582" w:rsidRDefault="00F11582" w:rsidP="001D7753">
      <w:pPr>
        <w:jc w:val="both"/>
        <w:rPr>
          <w:rFonts w:eastAsia="Calibri"/>
          <w:bCs/>
          <w:smallCaps/>
        </w:rPr>
      </w:pPr>
    </w:p>
    <w:p w14:paraId="236DE83B" w14:textId="77777777" w:rsidR="00F11582" w:rsidRDefault="00F11582" w:rsidP="001D7753">
      <w:pPr>
        <w:jc w:val="both"/>
        <w:rPr>
          <w:rFonts w:eastAsia="Calibri"/>
          <w:bCs/>
          <w:smallCaps/>
        </w:rPr>
      </w:pPr>
    </w:p>
    <w:p w14:paraId="1728D3A7" w14:textId="77777777" w:rsidR="00F11582" w:rsidRDefault="00F11582" w:rsidP="001D7753">
      <w:pPr>
        <w:jc w:val="both"/>
        <w:rPr>
          <w:rFonts w:eastAsia="Calibri"/>
          <w:bCs/>
          <w:smallCaps/>
        </w:rPr>
      </w:pPr>
    </w:p>
    <w:p w14:paraId="7AA2ECE4" w14:textId="77777777" w:rsidR="00F11582" w:rsidRDefault="00F11582" w:rsidP="001D7753">
      <w:pPr>
        <w:jc w:val="both"/>
        <w:rPr>
          <w:rFonts w:eastAsia="Calibri"/>
          <w:bCs/>
          <w:smallCaps/>
        </w:rPr>
      </w:pPr>
    </w:p>
    <w:p w14:paraId="4E193B9C" w14:textId="77777777" w:rsidR="00F11582" w:rsidRDefault="00F11582" w:rsidP="001D7753">
      <w:pPr>
        <w:jc w:val="both"/>
        <w:rPr>
          <w:rFonts w:eastAsia="Calibri"/>
          <w:bCs/>
          <w:smallCaps/>
        </w:rPr>
      </w:pPr>
    </w:p>
    <w:p w14:paraId="7FA2A23D" w14:textId="77777777" w:rsidR="00F11582" w:rsidRDefault="00F11582" w:rsidP="001D7753">
      <w:pPr>
        <w:jc w:val="both"/>
        <w:rPr>
          <w:rFonts w:eastAsia="Calibri"/>
          <w:bCs/>
          <w:smallCaps/>
        </w:rPr>
      </w:pPr>
    </w:p>
    <w:p w14:paraId="5D3C79E3" w14:textId="77777777" w:rsidR="00326A90" w:rsidRDefault="00326A90" w:rsidP="001D7753">
      <w:pPr>
        <w:jc w:val="both"/>
        <w:rPr>
          <w:rFonts w:eastAsia="Calibri"/>
          <w:bCs/>
          <w:smallCaps/>
        </w:rPr>
      </w:pPr>
    </w:p>
    <w:p w14:paraId="11F0FA32" w14:textId="77777777" w:rsidR="00EA70FE" w:rsidRDefault="00EA70FE" w:rsidP="001D7753">
      <w:pPr>
        <w:jc w:val="both"/>
        <w:rPr>
          <w:rFonts w:eastAsia="Calibri"/>
          <w:bCs/>
          <w:smallCaps/>
        </w:rPr>
      </w:pPr>
    </w:p>
    <w:p w14:paraId="7550DEB4" w14:textId="77777777" w:rsidR="00EA70FE" w:rsidRDefault="00EA70FE" w:rsidP="001D7753">
      <w:pPr>
        <w:jc w:val="both"/>
        <w:rPr>
          <w:rFonts w:eastAsia="Calibri"/>
          <w:bCs/>
          <w:smallCaps/>
        </w:rPr>
      </w:pPr>
    </w:p>
    <w:p w14:paraId="5A2E7A19" w14:textId="77777777" w:rsidR="00EA70FE" w:rsidRDefault="00EA70FE" w:rsidP="001D7753">
      <w:pPr>
        <w:jc w:val="both"/>
        <w:rPr>
          <w:rFonts w:eastAsia="Calibri"/>
          <w:bCs/>
          <w:smallCaps/>
        </w:rPr>
      </w:pPr>
    </w:p>
    <w:p w14:paraId="0F98A065" w14:textId="77777777" w:rsidR="00EA70FE" w:rsidRDefault="00EA70FE" w:rsidP="001D7753">
      <w:pPr>
        <w:jc w:val="both"/>
        <w:rPr>
          <w:rFonts w:eastAsia="Calibri"/>
          <w:bCs/>
          <w:smallCaps/>
        </w:rPr>
      </w:pPr>
    </w:p>
    <w:p w14:paraId="647EEF0E" w14:textId="77777777" w:rsidR="00EA70FE" w:rsidRDefault="00EA70FE" w:rsidP="001D7753">
      <w:pPr>
        <w:jc w:val="both"/>
        <w:rPr>
          <w:rFonts w:eastAsia="Calibri"/>
          <w:bCs/>
          <w:smallCaps/>
        </w:rPr>
      </w:pPr>
    </w:p>
    <w:p w14:paraId="1B80AEE7" w14:textId="77777777" w:rsidR="00EA70FE" w:rsidRDefault="00EA70FE" w:rsidP="001D7753">
      <w:pPr>
        <w:jc w:val="both"/>
        <w:rPr>
          <w:rFonts w:eastAsia="Calibri"/>
          <w:bCs/>
          <w:smallCaps/>
        </w:rPr>
      </w:pPr>
    </w:p>
    <w:p w14:paraId="6F2F5890" w14:textId="77777777" w:rsidR="00EA70FE" w:rsidRDefault="00EA70FE" w:rsidP="001D7753">
      <w:pPr>
        <w:jc w:val="both"/>
        <w:rPr>
          <w:rFonts w:eastAsia="Calibri"/>
          <w:bCs/>
          <w:smallCaps/>
        </w:rPr>
      </w:pPr>
    </w:p>
    <w:p w14:paraId="7F6DC579" w14:textId="77777777" w:rsidR="00EA70FE" w:rsidRDefault="00EA70FE" w:rsidP="001D7753">
      <w:pPr>
        <w:jc w:val="both"/>
        <w:rPr>
          <w:rFonts w:eastAsia="Calibri"/>
          <w:bCs/>
          <w:smallCaps/>
        </w:rPr>
      </w:pPr>
    </w:p>
    <w:p w14:paraId="28A44B55" w14:textId="77777777" w:rsidR="00EA70FE" w:rsidRDefault="00EA70FE" w:rsidP="001D7753">
      <w:pPr>
        <w:jc w:val="both"/>
        <w:rPr>
          <w:rFonts w:eastAsia="Calibri"/>
          <w:bCs/>
          <w:smallCaps/>
        </w:rPr>
      </w:pPr>
    </w:p>
    <w:p w14:paraId="682CEFFD" w14:textId="77777777" w:rsidR="00EA70FE" w:rsidRDefault="00EA70FE" w:rsidP="001D7753">
      <w:pPr>
        <w:jc w:val="both"/>
        <w:rPr>
          <w:rFonts w:eastAsia="Calibri"/>
          <w:bCs/>
          <w:smallCaps/>
        </w:rPr>
      </w:pPr>
    </w:p>
    <w:p w14:paraId="523DC7C5" w14:textId="77777777" w:rsidR="00EA70FE" w:rsidRDefault="00EA70FE" w:rsidP="001D7753">
      <w:pPr>
        <w:jc w:val="both"/>
        <w:rPr>
          <w:rFonts w:eastAsia="Calibri"/>
          <w:bCs/>
          <w:smallCaps/>
        </w:rPr>
      </w:pPr>
    </w:p>
    <w:p w14:paraId="6B6BC4ED" w14:textId="77777777" w:rsidR="00EA70FE" w:rsidRDefault="00EA70FE" w:rsidP="001D7753">
      <w:pPr>
        <w:jc w:val="both"/>
        <w:rPr>
          <w:rFonts w:eastAsia="Calibri"/>
          <w:bCs/>
          <w:smallCaps/>
        </w:rPr>
      </w:pPr>
    </w:p>
    <w:p w14:paraId="4E31C6BA" w14:textId="77777777" w:rsidR="00EA70FE" w:rsidRDefault="00EA70FE" w:rsidP="001D7753">
      <w:pPr>
        <w:jc w:val="both"/>
        <w:rPr>
          <w:rFonts w:eastAsia="Calibri"/>
          <w:bCs/>
          <w:smallCaps/>
        </w:rPr>
      </w:pPr>
    </w:p>
    <w:p w14:paraId="650A3D02" w14:textId="77777777" w:rsidR="00EA70FE" w:rsidRDefault="00EA70FE"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19A4F2BE"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w:t>
      </w:r>
      <w:r w:rsidR="008D672D">
        <w:rPr>
          <w:i/>
          <w:iCs/>
          <w:sz w:val="20"/>
          <w:szCs w:val="20"/>
          <w:lang w:eastAsia="ar-SA"/>
        </w:rPr>
        <w:t>P</w:t>
      </w:r>
      <w:r w:rsidR="00AA7C9D">
        <w:rPr>
          <w:i/>
          <w:iCs/>
          <w:sz w:val="20"/>
          <w:szCs w:val="20"/>
          <w:lang w:eastAsia="ar-SA"/>
        </w:rPr>
        <w:t>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0D2AB9C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005D167A">
        <w:rPr>
          <w:rFonts w:cs="Arial"/>
          <w:i/>
        </w:rPr>
        <w:t>/</w:t>
      </w:r>
      <w:r w:rsidR="008D672D">
        <w:rPr>
          <w:rFonts w:cs="Arial"/>
          <w:i/>
        </w:rPr>
        <w:t>P</w:t>
      </w:r>
      <w:r w:rsidR="005D167A">
        <w:rPr>
          <w:rFonts w:cs="Arial"/>
          <w:i/>
        </w:rPr>
        <w:t>artnera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(tytuł</w:t>
      </w:r>
      <w:r w:rsidR="00D94006">
        <w:rPr>
          <w:i/>
          <w:iCs/>
          <w:lang w:eastAsia="ar-SA"/>
        </w:rPr>
        <w:t xml:space="preserve">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5B78AC53" w:rsidR="0085509B" w:rsidRPr="002C33B7" w:rsidRDefault="0085509B" w:rsidP="00F547E9">
      <w:pPr>
        <w:numPr>
          <w:ilvl w:val="0"/>
          <w:numId w:val="72"/>
        </w:numPr>
        <w:spacing w:after="120" w:line="276" w:lineRule="auto"/>
        <w:ind w:left="714" w:hanging="357"/>
        <w:jc w:val="both"/>
        <w:rPr>
          <w:rFonts w:cs="Arial"/>
        </w:rPr>
      </w:pPr>
      <w:r w:rsidRPr="002C33B7">
        <w:rPr>
          <w:rFonts w:cs="Arial"/>
        </w:rPr>
        <w:lastRenderedPageBreak/>
        <w:t>………………………(</w:t>
      </w:r>
      <w:r w:rsidRPr="002C33B7">
        <w:rPr>
          <w:rFonts w:cs="Arial"/>
          <w:i/>
        </w:rPr>
        <w:t>nazwa</w:t>
      </w:r>
      <w:r w:rsidR="008D672D">
        <w:rPr>
          <w:rFonts w:cs="Arial"/>
          <w:i/>
        </w:rPr>
        <w:t xml:space="preserve"> </w:t>
      </w:r>
      <w:r w:rsidR="00AA7C9D" w:rsidRPr="002C33B7">
        <w:rPr>
          <w:rFonts w:cs="Arial"/>
          <w:i/>
        </w:rPr>
        <w:t>Beneficjenta/</w:t>
      </w:r>
      <w:r w:rsidR="008D672D">
        <w:rPr>
          <w:rFonts w:cs="Arial"/>
          <w:i/>
        </w:rPr>
        <w:t>P</w:t>
      </w:r>
      <w:r w:rsidR="00AA7C9D" w:rsidRPr="002C33B7">
        <w:rPr>
          <w:rFonts w:cs="Arial"/>
          <w:i/>
        </w:rPr>
        <w:t>artnera</w:t>
      </w:r>
      <w:r w:rsidRPr="002C33B7">
        <w:rPr>
          <w:rFonts w:cs="Arial"/>
        </w:rPr>
        <w:t>)………………………</w:t>
      </w:r>
      <w:r w:rsidR="00BB57EA" w:rsidRPr="002C33B7">
        <w:rPr>
          <w:rFonts w:cs="Arial"/>
        </w:rPr>
        <w:t>…………………</w:t>
      </w:r>
    </w:p>
    <w:p w14:paraId="7DDBEA75" w14:textId="5F984F4E" w:rsidR="00BB57EA" w:rsidRPr="002C33B7" w:rsidRDefault="0085509B" w:rsidP="00BB57EA">
      <w:pPr>
        <w:numPr>
          <w:ilvl w:val="0"/>
          <w:numId w:val="72"/>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508C700D"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w:t>
      </w:r>
      <w:r w:rsidR="008D672D">
        <w:rPr>
          <w:rFonts w:cs="Arial"/>
          <w:i/>
        </w:rPr>
        <w:t>P</w:t>
      </w:r>
      <w:r w:rsidR="008D672D" w:rsidRPr="002C33B7">
        <w:rPr>
          <w:rFonts w:cs="Arial"/>
          <w:i/>
        </w:rPr>
        <w:t>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w:t>
      </w:r>
      <w:r w:rsidR="008D672D">
        <w:rPr>
          <w:rFonts w:cs="Arial"/>
          <w:i/>
        </w:rPr>
        <w:t>P</w:t>
      </w:r>
      <w:r w:rsidR="00AA7C9D" w:rsidRPr="002C33B7">
        <w:rPr>
          <w:rFonts w:cs="Arial"/>
          <w:i/>
        </w:rPr>
        <w:t>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Jednocześnie ......................................(nazwa Beneficjenta/</w:t>
      </w:r>
      <w:r w:rsidR="008D672D">
        <w:rPr>
          <w:rFonts w:cs="Arial"/>
        </w:rPr>
        <w:t>P</w:t>
      </w:r>
      <w:r w:rsidR="00AA7C9D" w:rsidRPr="002C33B7">
        <w:rPr>
          <w:rFonts w:cs="Arial"/>
        </w:rPr>
        <w:t xml:space="preserve">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w okresie realizacji Projektu, 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3CC4F9B" w14:textId="77777777" w:rsidR="00EA70FE" w:rsidRDefault="00EA70FE" w:rsidP="0085509B">
      <w:pPr>
        <w:jc w:val="both"/>
        <w:rPr>
          <w:rFonts w:cs="Arial"/>
        </w:rPr>
      </w:pPr>
    </w:p>
    <w:p w14:paraId="515162EF" w14:textId="280C9870" w:rsidR="00EA70FE" w:rsidRPr="002C33B7" w:rsidRDefault="00EA70FE" w:rsidP="0085509B">
      <w:pPr>
        <w:jc w:val="both"/>
        <w:rPr>
          <w:rFonts w:cs="Arial"/>
        </w:rPr>
      </w:pPr>
      <w:r w:rsidRPr="007225FD">
        <w:rPr>
          <w:rFonts w:eastAsia="Arial"/>
          <w:color w:val="000000"/>
          <w:szCs w:val="22"/>
        </w:rPr>
        <w:t>Jestem świadomy/świadoma odpowiedzialności karnej za złożenie fałszywych oświadczeń.</w:t>
      </w:r>
      <w:r>
        <w:rPr>
          <w:rStyle w:val="Odwoanieprzypisudolnego"/>
          <w:rFonts w:eastAsia="Arial"/>
          <w:color w:val="000000"/>
          <w:szCs w:val="22"/>
        </w:rPr>
        <w:footnoteReference w:id="29"/>
      </w:r>
    </w:p>
    <w:p w14:paraId="6A0FF495" w14:textId="77777777" w:rsidR="0085509B" w:rsidRPr="002C33B7" w:rsidRDefault="0085509B" w:rsidP="0085509B">
      <w:pPr>
        <w:suppressAutoHyphens/>
        <w:jc w:val="both"/>
      </w:pP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4DAC5025" w14:textId="2649D0C7" w:rsidR="00BB57EA" w:rsidRDefault="000B4337" w:rsidP="000B4337">
      <w:pPr>
        <w:spacing w:after="160" w:line="259" w:lineRule="auto"/>
        <w:jc w:val="center"/>
        <w:rPr>
          <w:rFonts w:eastAsia="Calibri"/>
          <w:i/>
          <w:lang w:eastAsia="en-US"/>
        </w:rPr>
      </w:pPr>
      <w:r>
        <w:rPr>
          <w:noProof/>
        </w:rPr>
        <w:drawing>
          <wp:inline distT="0" distB="0" distL="0" distR="0" wp14:anchorId="78DB3709" wp14:editId="0CDB3ED2">
            <wp:extent cx="5278773" cy="648941"/>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3F3C9BAC" w14:textId="056BD664" w:rsidR="00804106" w:rsidRPr="00555029" w:rsidRDefault="00804106">
      <w:pPr>
        <w:pStyle w:val="Nagwek"/>
        <w:jc w:val="right"/>
        <w:rPr>
          <w:i/>
        </w:rPr>
      </w:pPr>
      <w:r w:rsidRPr="00555029">
        <w:rPr>
          <w:i/>
        </w:rPr>
        <w:t xml:space="preserve">Załącznik nr </w:t>
      </w:r>
      <w:r w:rsidR="00606C17">
        <w:rPr>
          <w:i/>
        </w:rPr>
        <w:t>4</w:t>
      </w:r>
      <w:r w:rsidRPr="00555029">
        <w:rPr>
          <w:i/>
        </w:rPr>
        <w:t xml:space="preserve"> do Umowy o dofinansowanie nr ……………………….. </w:t>
      </w:r>
    </w:p>
    <w:p w14:paraId="132CE7E9" w14:textId="1FCF8226" w:rsidR="00804106" w:rsidRDefault="00804106">
      <w:pPr>
        <w:pStyle w:val="Nagwek"/>
        <w:jc w:val="right"/>
        <w:rPr>
          <w:i/>
        </w:rPr>
      </w:pPr>
      <w:r w:rsidRPr="00555029">
        <w:rPr>
          <w:i/>
        </w:rPr>
        <w:t>z dnia ………………………..</w:t>
      </w:r>
    </w:p>
    <w:p w14:paraId="76C0AB6A" w14:textId="77777777" w:rsidR="000B4337" w:rsidRPr="002B771F" w:rsidRDefault="000B4337">
      <w:pPr>
        <w:pStyle w:val="Nagwek"/>
        <w:jc w:val="right"/>
        <w:rPr>
          <w:i/>
        </w:rPr>
      </w:pPr>
    </w:p>
    <w:p w14:paraId="4138C369" w14:textId="77777777" w:rsidR="000B4337" w:rsidRDefault="000B4337" w:rsidP="000B4337">
      <w:pPr>
        <w:jc w:val="center"/>
      </w:pPr>
    </w:p>
    <w:p w14:paraId="37EA8CD4" w14:textId="77777777" w:rsidR="006F3F97" w:rsidRPr="006F3F97" w:rsidRDefault="006F3F97">
      <w:pPr>
        <w:pStyle w:val="Default"/>
        <w:jc w:val="center"/>
        <w:rPr>
          <w:rFonts w:ascii="Times New Roman" w:hAnsi="Times New Roman" w:cs="Times New Roman"/>
          <w:b/>
          <w:i/>
          <w:iCs/>
          <w:sz w:val="22"/>
          <w:szCs w:val="22"/>
        </w:rPr>
      </w:pPr>
      <w:r w:rsidRPr="004255D4">
        <w:rPr>
          <w:rFonts w:ascii="Times New Roman" w:hAnsi="Times New Roman" w:cs="Times New Roman"/>
          <w:b/>
          <w:bCs/>
          <w:i/>
          <w:sz w:val="22"/>
          <w:szCs w:val="22"/>
        </w:rPr>
        <w:t>Mechanizm monitorowania i</w:t>
      </w:r>
      <w:r w:rsidRPr="006F3F97">
        <w:rPr>
          <w:rFonts w:ascii="Times New Roman" w:hAnsi="Times New Roman" w:cs="Times New Roman"/>
          <w:b/>
          <w:bCs/>
          <w:sz w:val="22"/>
          <w:szCs w:val="22"/>
        </w:rPr>
        <w:t xml:space="preserve"> </w:t>
      </w:r>
      <w:r w:rsidRPr="006F3F97">
        <w:rPr>
          <w:rFonts w:ascii="Times New Roman" w:hAnsi="Times New Roman" w:cs="Times New Roman"/>
          <w:b/>
          <w:i/>
          <w:iCs/>
          <w:sz w:val="22"/>
          <w:szCs w:val="22"/>
        </w:rPr>
        <w:t xml:space="preserve">wycofania w przypadku finansowania infrastruktury badawczej </w:t>
      </w:r>
    </w:p>
    <w:p w14:paraId="3C2971B7" w14:textId="77777777" w:rsidR="006F3F97" w:rsidRPr="006F3F97" w:rsidRDefault="006F3F97">
      <w:pPr>
        <w:pStyle w:val="Default"/>
        <w:jc w:val="center"/>
        <w:rPr>
          <w:rFonts w:ascii="Times New Roman" w:hAnsi="Times New Roman" w:cs="Times New Roman"/>
          <w:b/>
          <w:sz w:val="22"/>
          <w:szCs w:val="22"/>
        </w:rPr>
      </w:pPr>
      <w:r w:rsidRPr="006F3F97">
        <w:rPr>
          <w:rFonts w:ascii="Times New Roman" w:hAnsi="Times New Roman" w:cs="Times New Roman"/>
          <w:b/>
          <w:i/>
          <w:iCs/>
          <w:sz w:val="22"/>
          <w:szCs w:val="22"/>
        </w:rPr>
        <w:t>ze środków publicznych</w:t>
      </w:r>
      <w:r w:rsidRPr="006F3F97">
        <w:rPr>
          <w:rStyle w:val="Odwoanieprzypisudolnego"/>
          <w:rFonts w:ascii="Times New Roman" w:hAnsi="Times New Roman"/>
          <w:b/>
          <w:i/>
          <w:iCs/>
          <w:sz w:val="22"/>
          <w:szCs w:val="22"/>
        </w:rPr>
        <w:footnoteReference w:id="30"/>
      </w:r>
    </w:p>
    <w:p w14:paraId="1CFC4503" w14:textId="77777777" w:rsidR="006F3F97" w:rsidRPr="006F3F97" w:rsidRDefault="006F3F97">
      <w:pPr>
        <w:ind w:left="2520"/>
        <w:jc w:val="both"/>
        <w:rPr>
          <w:bCs/>
        </w:rPr>
      </w:pPr>
    </w:p>
    <w:p w14:paraId="14F03B2A" w14:textId="047D1D1F" w:rsidR="006F3F97" w:rsidRPr="006F3F97" w:rsidRDefault="006F3F97" w:rsidP="00F547E9">
      <w:pPr>
        <w:pStyle w:val="Akapitzlist"/>
        <w:numPr>
          <w:ilvl w:val="0"/>
          <w:numId w:val="42"/>
        </w:numPr>
        <w:spacing w:after="160"/>
        <w:jc w:val="both"/>
        <w:rPr>
          <w:bCs/>
        </w:rPr>
      </w:pPr>
      <w:r w:rsidRPr="006F3F97">
        <w:rPr>
          <w:bCs/>
        </w:rPr>
        <w:t xml:space="preserve">W przypadku, gdy dofinansowanie jest udzielane na inwestycje w zakresie infrastruktury badawczej w rozumieniu art. 2 pkt 91 </w:t>
      </w:r>
      <w:r w:rsidRPr="00F81015">
        <w:rPr>
          <w:bCs/>
          <w:i/>
        </w:rPr>
        <w:t xml:space="preserve">Rozporządzenia </w:t>
      </w:r>
      <w:r w:rsidRPr="00F81015">
        <w:rPr>
          <w:i/>
        </w:rPr>
        <w:t>Komisji (UE) nr 651/2014 z dnia 17 czerwca 2014 r. uznającego niektóre rodzaje pomocy za zgodne z rynkiem wewnętrznym w</w:t>
      </w:r>
      <w:r w:rsidR="004D4EE0" w:rsidRPr="00F81015">
        <w:rPr>
          <w:i/>
        </w:rPr>
        <w:t> </w:t>
      </w:r>
      <w:r w:rsidRPr="00F81015">
        <w:rPr>
          <w:i/>
        </w:rPr>
        <w:t>zastosowaniu art. 107 i 108 Traktatu</w:t>
      </w:r>
      <w:r w:rsidRPr="006F3F97">
        <w:t>, jako pomoc inwestycyjna na infrastrukturę badawczą na podstawie art. 26</w:t>
      </w:r>
      <w:r w:rsidR="007C46F8">
        <w:t xml:space="preserve"> </w:t>
      </w:r>
      <w:r w:rsidRPr="006F3F97">
        <w:t>tego Rozporządzenia, która to infrastruktura wykorzystywana będzie zarówno do działalności gospodarczej w rozumieniu przepisów prawa Unii Europejskiej o</w:t>
      </w:r>
      <w:r w:rsidR="004D4EE0">
        <w:t> </w:t>
      </w:r>
      <w:r w:rsidRPr="006F3F97">
        <w:t>pomocy publicznej, jak i do działalności niestanowiącej działalności gospodarczej, zastosowanie znajdą postanowienia niniejszego Załącznika.</w:t>
      </w:r>
    </w:p>
    <w:p w14:paraId="5F1A8123" w14:textId="77777777" w:rsidR="006F3F97" w:rsidRPr="00504B99" w:rsidRDefault="006F3F97">
      <w:pPr>
        <w:pStyle w:val="Akapitzlist"/>
        <w:jc w:val="both"/>
        <w:rPr>
          <w:bCs/>
          <w:sz w:val="12"/>
          <w:szCs w:val="12"/>
        </w:rPr>
      </w:pPr>
    </w:p>
    <w:p w14:paraId="16D9157A" w14:textId="59265DA2" w:rsidR="006F3F97" w:rsidRPr="006F3F97" w:rsidRDefault="006F3F97" w:rsidP="00F547E9">
      <w:pPr>
        <w:pStyle w:val="Akapitzlist"/>
        <w:numPr>
          <w:ilvl w:val="0"/>
          <w:numId w:val="42"/>
        </w:numPr>
        <w:spacing w:after="160"/>
        <w:jc w:val="both"/>
        <w:rPr>
          <w:bCs/>
        </w:rPr>
      </w:pPr>
      <w:r w:rsidRPr="006F3F97">
        <w:rPr>
          <w:bCs/>
        </w:rPr>
        <w:t>Obowiązek zastosowania tzw. mechanizmu monitorowania i wycofania w odniesieniu do działalności</w:t>
      </w:r>
      <w:r w:rsidR="0034751A">
        <w:rPr>
          <w:bCs/>
        </w:rPr>
        <w:t xml:space="preserve"> </w:t>
      </w:r>
      <w:r w:rsidRPr="006F3F97">
        <w:rPr>
          <w:bCs/>
        </w:rPr>
        <w:t>prowadzonej</w:t>
      </w:r>
      <w:r w:rsidR="0034751A">
        <w:rPr>
          <w:bCs/>
        </w:rPr>
        <w:t xml:space="preserve"> </w:t>
      </w:r>
      <w:r w:rsidRPr="006F3F97">
        <w:rPr>
          <w:bCs/>
        </w:rPr>
        <w:t>na infrastrukturze badawczej otrzymującej finansowanie</w:t>
      </w:r>
      <w:r w:rsidR="0034751A">
        <w:rPr>
          <w:bCs/>
        </w:rPr>
        <w:t xml:space="preserve"> </w:t>
      </w:r>
      <w:r w:rsidRPr="006F3F97">
        <w:rPr>
          <w:bCs/>
        </w:rPr>
        <w:t xml:space="preserve">publiczne uregulowano w § 12 ust. 5 i 6 </w:t>
      </w:r>
      <w:r w:rsidRPr="00F81015">
        <w:rPr>
          <w:bCs/>
          <w:i/>
        </w:rPr>
        <w:t xml:space="preserve">Rozporządzenia Ministra </w:t>
      </w:r>
      <w:r w:rsidR="007C46F8">
        <w:rPr>
          <w:bCs/>
          <w:i/>
        </w:rPr>
        <w:t xml:space="preserve">Funduszy i Polityki Regionalnej z dnia 29 </w:t>
      </w:r>
      <w:r w:rsidR="007C46F8">
        <w:rPr>
          <w:bCs/>
          <w:i/>
        </w:rPr>
        <w:lastRenderedPageBreak/>
        <w:t xml:space="preserve">listopada 2022 r. </w:t>
      </w:r>
      <w:r w:rsidRPr="00F81015">
        <w:rPr>
          <w:bCs/>
          <w:i/>
        </w:rPr>
        <w:t>w</w:t>
      </w:r>
      <w:r w:rsidR="004D4EE0" w:rsidRPr="00F81015">
        <w:rPr>
          <w:bCs/>
          <w:i/>
        </w:rPr>
        <w:t> </w:t>
      </w:r>
      <w:r w:rsidRPr="00F81015">
        <w:rPr>
          <w:bCs/>
          <w:i/>
        </w:rPr>
        <w:t>sprawie udzielania pomocy</w:t>
      </w:r>
      <w:r w:rsidR="0034751A">
        <w:rPr>
          <w:bCs/>
          <w:i/>
        </w:rPr>
        <w:t xml:space="preserve"> </w:t>
      </w:r>
      <w:r w:rsidRPr="00F81015">
        <w:rPr>
          <w:bCs/>
          <w:i/>
        </w:rPr>
        <w:t>inwestycyjnej</w:t>
      </w:r>
      <w:r w:rsidR="0034751A">
        <w:rPr>
          <w:bCs/>
          <w:i/>
        </w:rPr>
        <w:t xml:space="preserve"> </w:t>
      </w:r>
      <w:r w:rsidRPr="00F81015">
        <w:rPr>
          <w:bCs/>
          <w:i/>
        </w:rPr>
        <w:t>na</w:t>
      </w:r>
      <w:r w:rsidR="0034751A">
        <w:rPr>
          <w:bCs/>
          <w:i/>
        </w:rPr>
        <w:t xml:space="preserve"> </w:t>
      </w:r>
      <w:r w:rsidRPr="00F81015">
        <w:rPr>
          <w:bCs/>
          <w:i/>
        </w:rPr>
        <w:t>infrastrukturę</w:t>
      </w:r>
      <w:r w:rsidR="0034751A">
        <w:rPr>
          <w:bCs/>
          <w:i/>
        </w:rPr>
        <w:t xml:space="preserve"> </w:t>
      </w:r>
      <w:r w:rsidRPr="00F81015">
        <w:rPr>
          <w:bCs/>
          <w:i/>
        </w:rPr>
        <w:t>badawczą</w:t>
      </w:r>
      <w:r w:rsidR="0034751A">
        <w:rPr>
          <w:bCs/>
          <w:i/>
        </w:rPr>
        <w:t xml:space="preserve"> </w:t>
      </w:r>
      <w:r w:rsidRPr="00F81015">
        <w:rPr>
          <w:bCs/>
          <w:i/>
        </w:rPr>
        <w:t>w</w:t>
      </w:r>
      <w:r w:rsidR="0034751A">
        <w:rPr>
          <w:bCs/>
          <w:i/>
        </w:rPr>
        <w:t xml:space="preserve"> </w:t>
      </w:r>
      <w:r w:rsidRPr="00F81015">
        <w:rPr>
          <w:bCs/>
          <w:i/>
        </w:rPr>
        <w:t>ramach regionalnych programów na lata 20</w:t>
      </w:r>
      <w:r w:rsidR="007C46F8">
        <w:rPr>
          <w:bCs/>
          <w:i/>
        </w:rPr>
        <w:t>21</w:t>
      </w:r>
      <w:r w:rsidR="004D4EE0" w:rsidRPr="00F81015">
        <w:rPr>
          <w:bCs/>
          <w:i/>
        </w:rPr>
        <w:t>-</w:t>
      </w:r>
      <w:r w:rsidRPr="00F81015">
        <w:rPr>
          <w:bCs/>
          <w:i/>
        </w:rPr>
        <w:t>202</w:t>
      </w:r>
      <w:r w:rsidR="007C46F8">
        <w:rPr>
          <w:bCs/>
          <w:i/>
        </w:rPr>
        <w:t>7</w:t>
      </w:r>
      <w:r w:rsidRPr="006F3F97">
        <w:rPr>
          <w:bCs/>
        </w:rPr>
        <w:t xml:space="preserve"> (Dz. U.</w:t>
      </w:r>
      <w:r w:rsidR="007C46F8">
        <w:rPr>
          <w:bCs/>
        </w:rPr>
        <w:t xml:space="preserve"> z 2022 r.</w:t>
      </w:r>
      <w:r w:rsidRPr="006F3F97">
        <w:rPr>
          <w:bCs/>
        </w:rPr>
        <w:t xml:space="preserve"> poz. </w:t>
      </w:r>
      <w:r w:rsidR="007C46F8">
        <w:rPr>
          <w:bCs/>
        </w:rPr>
        <w:t>2496</w:t>
      </w:r>
      <w:r w:rsidRPr="006F3F97">
        <w:rPr>
          <w:bCs/>
        </w:rPr>
        <w:t xml:space="preserve">). </w:t>
      </w:r>
    </w:p>
    <w:p w14:paraId="2119A32B" w14:textId="77777777" w:rsidR="00B62CF1" w:rsidRPr="00774E0F" w:rsidRDefault="00B62CF1" w:rsidP="00504B99">
      <w:pPr>
        <w:pStyle w:val="Akapitzlist"/>
        <w:jc w:val="both"/>
        <w:rPr>
          <w:bCs/>
          <w:sz w:val="12"/>
          <w:szCs w:val="12"/>
        </w:rPr>
      </w:pPr>
    </w:p>
    <w:p w14:paraId="51486DC0" w14:textId="08B29029" w:rsidR="006F3F97" w:rsidRPr="006F3F97" w:rsidRDefault="006F3F97" w:rsidP="00F547E9">
      <w:pPr>
        <w:pStyle w:val="Akapitzlist"/>
        <w:numPr>
          <w:ilvl w:val="0"/>
          <w:numId w:val="42"/>
        </w:numPr>
        <w:spacing w:after="160"/>
        <w:jc w:val="both"/>
        <w:rPr>
          <w:bCs/>
        </w:rPr>
      </w:pPr>
      <w:r w:rsidRPr="006F3F97">
        <w:t>Zakres zastosowania niniejszego Załącznika obejmuje wszystkie elementy infrastruktury badawczej, na które zostało udzielone dofinansowanie w ramach Projektu</w:t>
      </w:r>
      <w:r w:rsidR="00BA1B85">
        <w:t>.</w:t>
      </w:r>
      <w:r w:rsidRPr="006F3F97">
        <w:t xml:space="preserve"> W związku z</w:t>
      </w:r>
      <w:r w:rsidR="004D4EE0">
        <w:t> </w:t>
      </w:r>
      <w:r w:rsidRPr="006F3F97">
        <w:t>powyższym, w</w:t>
      </w:r>
      <w:r w:rsidRPr="006F3F97">
        <w:rPr>
          <w:bCs/>
        </w:rPr>
        <w:t xml:space="preserve"> ramach niniejszego Projektu, mechanizm monitorowania i wycofania stosuje się do następujących zadań:</w:t>
      </w:r>
    </w:p>
    <w:p w14:paraId="62A74CF8" w14:textId="77777777" w:rsidR="006F3F97" w:rsidRPr="006F3F97" w:rsidRDefault="006F3F97" w:rsidP="00F547E9">
      <w:pPr>
        <w:pStyle w:val="Akapitzlist"/>
        <w:numPr>
          <w:ilvl w:val="0"/>
          <w:numId w:val="43"/>
        </w:numPr>
        <w:spacing w:after="160"/>
        <w:jc w:val="both"/>
        <w:rPr>
          <w:bCs/>
        </w:rPr>
      </w:pPr>
      <w:r w:rsidRPr="006F3F97">
        <w:rPr>
          <w:bCs/>
        </w:rPr>
        <w:t>Zadanie nr ………………………………………,</w:t>
      </w:r>
    </w:p>
    <w:p w14:paraId="4740A75A" w14:textId="77777777" w:rsidR="006F3F97" w:rsidRPr="006F3F97" w:rsidRDefault="006F3F97" w:rsidP="00F547E9">
      <w:pPr>
        <w:pStyle w:val="Akapitzlist"/>
        <w:numPr>
          <w:ilvl w:val="0"/>
          <w:numId w:val="43"/>
        </w:numPr>
        <w:spacing w:after="160"/>
        <w:jc w:val="both"/>
        <w:rPr>
          <w:bCs/>
        </w:rPr>
      </w:pPr>
      <w:r w:rsidRPr="006F3F97">
        <w:rPr>
          <w:bCs/>
        </w:rPr>
        <w:t>Zadanie nr ……………………………………….</w:t>
      </w:r>
    </w:p>
    <w:p w14:paraId="1660F8B2" w14:textId="77777777" w:rsidR="00B62CF1" w:rsidRPr="00774E0F" w:rsidRDefault="00B62CF1" w:rsidP="00504B99">
      <w:pPr>
        <w:pStyle w:val="Akapitzlist"/>
        <w:ind w:left="1440"/>
        <w:jc w:val="both"/>
        <w:rPr>
          <w:bCs/>
          <w:sz w:val="12"/>
          <w:szCs w:val="12"/>
        </w:rPr>
      </w:pPr>
    </w:p>
    <w:p w14:paraId="03E31759" w14:textId="45512C1E" w:rsidR="006F3F97" w:rsidRPr="006F3F97" w:rsidRDefault="006F3F97" w:rsidP="00F547E9">
      <w:pPr>
        <w:pStyle w:val="Akapitzlist"/>
        <w:numPr>
          <w:ilvl w:val="0"/>
          <w:numId w:val="42"/>
        </w:numPr>
        <w:spacing w:after="160"/>
        <w:jc w:val="both"/>
        <w:rPr>
          <w:bCs/>
        </w:rPr>
      </w:pPr>
      <w:r w:rsidRPr="006F3F97">
        <w:t>Okres stosowania mechanizmu monitorowania i wycofania, przewidzianego niniejszym Załącznikiem, określany jest oddzielnie dla każdego składnika infrastruktury badawczej i jest równy okresowi jego amortyzacji obliczanej wg metody liniowej, określanego zgodnie z</w:t>
      </w:r>
      <w:r w:rsidR="004D4EE0">
        <w:t> </w:t>
      </w:r>
      <w:r w:rsidRPr="006F3F97">
        <w:t>przepisami o rachunkowości, tj.:</w:t>
      </w:r>
    </w:p>
    <w:p w14:paraId="3A03535A" w14:textId="77777777" w:rsidR="006F3F97" w:rsidRPr="006F3F97" w:rsidRDefault="006F3F97" w:rsidP="00F547E9">
      <w:pPr>
        <w:pStyle w:val="Akapitzlist"/>
        <w:numPr>
          <w:ilvl w:val="0"/>
          <w:numId w:val="44"/>
        </w:numPr>
        <w:spacing w:after="160"/>
        <w:jc w:val="both"/>
        <w:rPr>
          <w:bCs/>
        </w:rPr>
      </w:pPr>
      <w:r w:rsidRPr="006F3F97">
        <w:rPr>
          <w:bCs/>
        </w:rPr>
        <w:t>W przypadku nieruchomości odpowiednio:</w:t>
      </w:r>
    </w:p>
    <w:p w14:paraId="2CA16901" w14:textId="77777777" w:rsidR="006F3F97" w:rsidRPr="006F3F97" w:rsidRDefault="006F3F97" w:rsidP="00F547E9">
      <w:pPr>
        <w:pStyle w:val="Akapitzlist"/>
        <w:numPr>
          <w:ilvl w:val="0"/>
          <w:numId w:val="46"/>
        </w:numPr>
        <w:spacing w:after="160"/>
        <w:rPr>
          <w:bCs/>
        </w:rPr>
      </w:pPr>
      <w:r w:rsidRPr="006F3F97">
        <w:rPr>
          <w:bCs/>
        </w:rPr>
        <w:t>[oznaczenie] – [długość okresu amortyzacji w latach];</w:t>
      </w:r>
    </w:p>
    <w:p w14:paraId="474625E0" w14:textId="77777777" w:rsidR="006F3F97" w:rsidRPr="006F3F97" w:rsidRDefault="006F3F97" w:rsidP="00F547E9">
      <w:pPr>
        <w:pStyle w:val="Akapitzlist"/>
        <w:numPr>
          <w:ilvl w:val="0"/>
          <w:numId w:val="46"/>
        </w:numPr>
        <w:spacing w:after="160"/>
        <w:jc w:val="both"/>
      </w:pPr>
      <w:r w:rsidRPr="006F3F97">
        <w:t>[oznaczenie] – [długość okresu amortyzacji w latach].</w:t>
      </w:r>
    </w:p>
    <w:p w14:paraId="6927EC65" w14:textId="77777777" w:rsidR="006F3F97" w:rsidRPr="006F3F97" w:rsidRDefault="006F3F97" w:rsidP="00F547E9">
      <w:pPr>
        <w:pStyle w:val="Akapitzlist"/>
        <w:numPr>
          <w:ilvl w:val="0"/>
          <w:numId w:val="44"/>
        </w:numPr>
        <w:spacing w:after="160"/>
        <w:jc w:val="both"/>
        <w:rPr>
          <w:bCs/>
        </w:rPr>
      </w:pPr>
      <w:r w:rsidRPr="006F3F97">
        <w:rPr>
          <w:bCs/>
        </w:rPr>
        <w:t>W przypadku zakupu aparatury badawczej odpowiednio:</w:t>
      </w:r>
    </w:p>
    <w:p w14:paraId="3BA4DFB8"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3F276771"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65B82C78" w14:textId="77777777" w:rsidR="00B62CF1" w:rsidRPr="00774E0F" w:rsidRDefault="00B62CF1" w:rsidP="00504B99">
      <w:pPr>
        <w:pStyle w:val="Akapitzlist"/>
        <w:ind w:left="2160"/>
        <w:jc w:val="both"/>
        <w:rPr>
          <w:bCs/>
          <w:sz w:val="12"/>
          <w:szCs w:val="12"/>
        </w:rPr>
      </w:pPr>
    </w:p>
    <w:p w14:paraId="37A5ABB7" w14:textId="77777777" w:rsidR="006F3F97" w:rsidRPr="006F3F97" w:rsidRDefault="006F3F97" w:rsidP="00F547E9">
      <w:pPr>
        <w:pStyle w:val="Akapitzlist"/>
        <w:numPr>
          <w:ilvl w:val="0"/>
          <w:numId w:val="42"/>
        </w:numPr>
        <w:spacing w:after="160"/>
        <w:jc w:val="both"/>
      </w:pPr>
      <w:r w:rsidRPr="006F3F97">
        <w:t>Okres stosowania mechanizmu monitorowania i wycofania dla danego składnika infrastruktury rozpoczyna się z dniem przyjęcia go do użytkowania jako środka trwałego.</w:t>
      </w:r>
    </w:p>
    <w:p w14:paraId="69B95AFA" w14:textId="77777777" w:rsidR="00B62CF1" w:rsidRPr="00774E0F" w:rsidRDefault="00B62CF1" w:rsidP="00504B99">
      <w:pPr>
        <w:pStyle w:val="Akapitzlist"/>
        <w:jc w:val="both"/>
        <w:rPr>
          <w:bCs/>
          <w:sz w:val="12"/>
          <w:szCs w:val="12"/>
        </w:rPr>
      </w:pPr>
    </w:p>
    <w:p w14:paraId="786B8F58" w14:textId="4D9E8DB5" w:rsidR="006F3F97" w:rsidRPr="006F3F97" w:rsidRDefault="006F3F97" w:rsidP="00F547E9">
      <w:pPr>
        <w:pStyle w:val="Akapitzlist"/>
        <w:numPr>
          <w:ilvl w:val="0"/>
          <w:numId w:val="42"/>
        </w:numPr>
        <w:spacing w:after="160"/>
        <w:jc w:val="both"/>
      </w:pPr>
      <w:r w:rsidRPr="006F3F97">
        <w:t>Monitorowanie wykorzystania infrastruktury badawczej odbywa się w cyklach rocznych</w:t>
      </w:r>
      <w:r w:rsidR="0092379F">
        <w:t>, przy czym możliwe jest określenie innego okresu sprawozdawczego od przyjętego roku obrachunkowego Beneficjenta do prowadzenia rozliczeń</w:t>
      </w:r>
      <w:r w:rsidRPr="006F3F97">
        <w:t xml:space="preserve"> zgodnie z zasadami rachunkowości.</w:t>
      </w:r>
      <w:r w:rsidR="0034751A">
        <w:t xml:space="preserve"> </w:t>
      </w:r>
      <w:r w:rsidR="0092379F">
        <w:t>Termin ten wyznacza</w:t>
      </w:r>
      <w:r w:rsidR="0034751A">
        <w:t xml:space="preserve"> </w:t>
      </w:r>
      <w:r w:rsidR="0092379F">
        <w:t xml:space="preserve">się w Pkt 10 niniejszego Załącznika. </w:t>
      </w:r>
      <w:r w:rsidRPr="006F3F97">
        <w:t xml:space="preserve">Jeżeli rozpoczęcie lub zakończenie okresu stosowania mechanizmu monitorowania i wycofania przypada w trakcie roku </w:t>
      </w:r>
      <w:r w:rsidR="0092379F">
        <w:t xml:space="preserve">sprawozdawczego </w:t>
      </w:r>
      <w:r w:rsidRPr="006F3F97">
        <w:t>, dany cykl sprawozdawczy obejmuje niepełny rok.</w:t>
      </w:r>
    </w:p>
    <w:p w14:paraId="51670A38" w14:textId="77777777" w:rsidR="006F3F97" w:rsidRPr="006F3F97" w:rsidRDefault="006F3F97">
      <w:pPr>
        <w:pStyle w:val="Akapitzlist"/>
        <w:jc w:val="both"/>
      </w:pPr>
    </w:p>
    <w:p w14:paraId="78FFEBDE" w14:textId="77777777" w:rsidR="006F3F97" w:rsidRPr="006F3F97" w:rsidRDefault="006F3F97" w:rsidP="00F547E9">
      <w:pPr>
        <w:pStyle w:val="Akapitzlist"/>
        <w:numPr>
          <w:ilvl w:val="0"/>
          <w:numId w:val="42"/>
        </w:numPr>
        <w:jc w:val="both"/>
        <w:rPr>
          <w:bCs/>
        </w:rPr>
      </w:pPr>
      <w:r w:rsidRPr="006F3F97">
        <w:t>Monitorowanie wykorzystania infrastruktury badawczej odbywa się w oparciu o kryterium powierzchni oraz wydajności infrastruktury badawczej. Poszczególne składniki infrastruktury są monitorowane według następujących wskaźników:</w:t>
      </w:r>
    </w:p>
    <w:p w14:paraId="0D08A893" w14:textId="77777777" w:rsidR="006F3F97" w:rsidRPr="006F3F97" w:rsidRDefault="006F3F97" w:rsidP="00F547E9">
      <w:pPr>
        <w:pStyle w:val="Akapitzlist"/>
        <w:numPr>
          <w:ilvl w:val="0"/>
          <w:numId w:val="45"/>
        </w:numPr>
        <w:spacing w:after="160"/>
        <w:ind w:firstLine="273"/>
      </w:pPr>
      <w:r w:rsidRPr="006F3F97">
        <w:t>[oznaczenie] – wskaźnik powierzchni/wydajności infrastruktury;</w:t>
      </w:r>
    </w:p>
    <w:p w14:paraId="2037CBDF" w14:textId="6CD34CAA" w:rsidR="006F3F97" w:rsidRPr="006F3F97" w:rsidRDefault="006F3F97" w:rsidP="00F547E9">
      <w:pPr>
        <w:pStyle w:val="Akapitzlist"/>
        <w:numPr>
          <w:ilvl w:val="0"/>
          <w:numId w:val="45"/>
        </w:numPr>
        <w:ind w:firstLine="273"/>
        <w:jc w:val="both"/>
        <w:rPr>
          <w:bCs/>
        </w:rPr>
      </w:pPr>
      <w:r w:rsidRPr="006F3F97">
        <w:t>[oznaczenie] – wskaźnik powierzchni/wydajności infrastruktury</w:t>
      </w:r>
      <w:r w:rsidRPr="006F3F97">
        <w:rPr>
          <w:rStyle w:val="Odwoanieprzypisudolnego"/>
        </w:rPr>
        <w:footnoteReference w:id="31"/>
      </w:r>
      <w:r w:rsidRPr="006F3F97">
        <w:t>.</w:t>
      </w:r>
    </w:p>
    <w:p w14:paraId="1794F3E5" w14:textId="77777777" w:rsidR="00B62CF1" w:rsidRPr="00774E0F" w:rsidRDefault="00B62CF1" w:rsidP="00504B99">
      <w:pPr>
        <w:pStyle w:val="Akapitzlist"/>
        <w:jc w:val="both"/>
        <w:rPr>
          <w:bCs/>
          <w:sz w:val="12"/>
          <w:szCs w:val="12"/>
        </w:rPr>
      </w:pPr>
    </w:p>
    <w:p w14:paraId="3EBC6A54" w14:textId="77777777" w:rsidR="006F3F97" w:rsidRDefault="006F3F97">
      <w:pPr>
        <w:ind w:left="709" w:hanging="1"/>
        <w:jc w:val="both"/>
      </w:pPr>
      <w:r w:rsidRPr="006F3F97">
        <w:t>Uzasadnienie przyjętych wskaźników ………………………………………………….</w:t>
      </w:r>
    </w:p>
    <w:p w14:paraId="5D47E3AB" w14:textId="77777777" w:rsidR="00B62CF1" w:rsidRPr="00774E0F" w:rsidRDefault="00B62CF1" w:rsidP="00B62CF1">
      <w:pPr>
        <w:pStyle w:val="Akapitzlist"/>
        <w:jc w:val="both"/>
        <w:rPr>
          <w:bCs/>
          <w:sz w:val="12"/>
          <w:szCs w:val="12"/>
        </w:rPr>
      </w:pPr>
    </w:p>
    <w:p w14:paraId="5C3AF2C0" w14:textId="56AF2A5A" w:rsidR="006F3F97" w:rsidRPr="006F3F97" w:rsidRDefault="006F3F97" w:rsidP="00F547E9">
      <w:pPr>
        <w:pStyle w:val="Akapitzlist"/>
        <w:numPr>
          <w:ilvl w:val="0"/>
          <w:numId w:val="42"/>
        </w:numPr>
        <w:spacing w:after="160"/>
        <w:jc w:val="both"/>
      </w:pPr>
      <w:r w:rsidRPr="006F3F97">
        <w:t>Metodyka ustalająca podział wykorzystania infrastruktury badawczej na cele działalności gospodarczej i niegospodarczej opisana we wniosku aplikacyjnym stanowiącym załącznik do Umowy nie może ulec zmianie w całym okresie monitorowania.</w:t>
      </w:r>
      <w:r w:rsidR="0034751A">
        <w:t xml:space="preserve"> </w:t>
      </w:r>
    </w:p>
    <w:p w14:paraId="5C7FA7A2" w14:textId="77777777" w:rsidR="00B62CF1" w:rsidRPr="00774E0F" w:rsidRDefault="00B62CF1" w:rsidP="00504B99">
      <w:pPr>
        <w:pStyle w:val="Akapitzlist"/>
        <w:jc w:val="both"/>
        <w:rPr>
          <w:bCs/>
          <w:sz w:val="12"/>
          <w:szCs w:val="12"/>
        </w:rPr>
      </w:pPr>
    </w:p>
    <w:p w14:paraId="7580ED96" w14:textId="61765974" w:rsidR="006F3F97" w:rsidRPr="006F3F97" w:rsidRDefault="006F3F97" w:rsidP="00F547E9">
      <w:pPr>
        <w:pStyle w:val="Akapitzlist"/>
        <w:numPr>
          <w:ilvl w:val="0"/>
          <w:numId w:val="42"/>
        </w:numPr>
        <w:spacing w:after="160"/>
        <w:jc w:val="both"/>
      </w:pPr>
      <w:r w:rsidRPr="006F3F97">
        <w:t>Beneficjent</w:t>
      </w:r>
      <w:r w:rsidR="0034751A">
        <w:t xml:space="preserve"> </w:t>
      </w:r>
      <w:r w:rsidRPr="006F3F97">
        <w:t>wykorzystujący</w:t>
      </w:r>
      <w:r w:rsidR="0034751A">
        <w:t xml:space="preserve"> </w:t>
      </w:r>
      <w:r w:rsidRPr="006F3F97">
        <w:t>infrastrukturę</w:t>
      </w:r>
      <w:r w:rsidR="0034751A">
        <w:t xml:space="preserve"> </w:t>
      </w:r>
      <w:r w:rsidRPr="006F3F97">
        <w:t>badawczą</w:t>
      </w:r>
      <w:r w:rsidR="0034751A">
        <w:t xml:space="preserve"> </w:t>
      </w:r>
      <w:r w:rsidRPr="006F3F97">
        <w:t>powstałą</w:t>
      </w:r>
      <w:r w:rsidR="0034751A">
        <w:t xml:space="preserve"> </w:t>
      </w:r>
      <w:r w:rsidRPr="006F3F97">
        <w:t>w</w:t>
      </w:r>
      <w:r w:rsidR="0034751A">
        <w:t xml:space="preserve"> </w:t>
      </w:r>
      <w:r w:rsidRPr="006F3F97">
        <w:t>ramach</w:t>
      </w:r>
      <w:r w:rsidR="0034751A">
        <w:t xml:space="preserve"> </w:t>
      </w:r>
      <w:r w:rsidRPr="006F3F97">
        <w:t>projektu</w:t>
      </w:r>
      <w:r w:rsidR="0034751A">
        <w:t xml:space="preserve"> </w:t>
      </w:r>
      <w:r w:rsidRPr="006F3F97">
        <w:t>do prowadzenia</w:t>
      </w:r>
      <w:r w:rsidR="0034751A">
        <w:t xml:space="preserve"> </w:t>
      </w:r>
      <w:r w:rsidRPr="006F3F97">
        <w:t>zarówno</w:t>
      </w:r>
      <w:r w:rsidR="0034751A">
        <w:t xml:space="preserve"> </w:t>
      </w:r>
      <w:r w:rsidRPr="006F3F97">
        <w:t>działalności</w:t>
      </w:r>
      <w:r w:rsidR="0034751A">
        <w:t xml:space="preserve"> </w:t>
      </w:r>
      <w:r w:rsidRPr="006F3F97">
        <w:t>gospodarczej,</w:t>
      </w:r>
      <w:r w:rsidR="0034751A">
        <w:t xml:space="preserve"> </w:t>
      </w:r>
      <w:r w:rsidRPr="006F3F97">
        <w:t>jak</w:t>
      </w:r>
      <w:r w:rsidR="0034751A">
        <w:t xml:space="preserve"> </w:t>
      </w:r>
      <w:r w:rsidRPr="006F3F97">
        <w:t>i</w:t>
      </w:r>
      <w:r w:rsidR="0034751A">
        <w:t xml:space="preserve"> </w:t>
      </w:r>
      <w:r w:rsidRPr="006F3F97">
        <w:t>niegospodarczej,</w:t>
      </w:r>
      <w:r w:rsidR="0034751A">
        <w:t xml:space="preserve"> </w:t>
      </w:r>
      <w:r w:rsidRPr="006F3F97">
        <w:t>zobowiązuje się do rozdzielenia kosztów, finansowania, i przychodów/dochodów z każdego rodzaju działalności,</w:t>
      </w:r>
      <w:r w:rsidR="0034751A">
        <w:t xml:space="preserve"> </w:t>
      </w:r>
      <w:r w:rsidRPr="006F3F97">
        <w:t>konsekwentnie</w:t>
      </w:r>
      <w:r w:rsidR="0034751A">
        <w:t xml:space="preserve"> </w:t>
      </w:r>
      <w:r w:rsidRPr="006F3F97">
        <w:lastRenderedPageBreak/>
        <w:t>stosując</w:t>
      </w:r>
      <w:r w:rsidR="0034751A">
        <w:t xml:space="preserve"> </w:t>
      </w:r>
      <w:r w:rsidRPr="006F3F97">
        <w:t>obiektywnie</w:t>
      </w:r>
      <w:r w:rsidR="0034751A">
        <w:t xml:space="preserve"> </w:t>
      </w:r>
      <w:r w:rsidRPr="006F3F97">
        <w:t>uzasadnione</w:t>
      </w:r>
      <w:r w:rsidR="0034751A">
        <w:t xml:space="preserve"> </w:t>
      </w:r>
      <w:r w:rsidRPr="006F3F97">
        <w:t>zasady</w:t>
      </w:r>
      <w:r w:rsidR="0034751A">
        <w:t xml:space="preserve"> </w:t>
      </w:r>
      <w:r w:rsidRPr="006F3F97">
        <w:t>rachunku kosztów. W związku z</w:t>
      </w:r>
      <w:r w:rsidR="004D4EE0">
        <w:t> </w:t>
      </w:r>
      <w:r w:rsidRPr="006F3F97">
        <w:t>tym, wykazywane przez Beneficjenta proporcje wykorzystania infrastruktury do obu rodzajów działalności</w:t>
      </w:r>
      <w:r>
        <w:t xml:space="preserve"> powinno mieć odzwierciedlenie </w:t>
      </w:r>
      <w:r w:rsidRPr="006F3F97">
        <w:t>w stosownych dokumentach finansowo-księgowych lub innych dokumentach prezentujących wymagane informacje.</w:t>
      </w:r>
    </w:p>
    <w:p w14:paraId="6E2784DB" w14:textId="77777777" w:rsidR="00B62CF1" w:rsidRPr="00774E0F" w:rsidRDefault="00B62CF1" w:rsidP="00504B99">
      <w:pPr>
        <w:pStyle w:val="Akapitzlist"/>
        <w:jc w:val="both"/>
        <w:rPr>
          <w:bCs/>
          <w:sz w:val="12"/>
          <w:szCs w:val="12"/>
        </w:rPr>
      </w:pPr>
    </w:p>
    <w:p w14:paraId="5D4F6FC4" w14:textId="1100F0CA" w:rsidR="002203C4" w:rsidRPr="006F3F97" w:rsidRDefault="006F3F97" w:rsidP="00F547E9">
      <w:pPr>
        <w:pStyle w:val="Akapitzlist"/>
        <w:numPr>
          <w:ilvl w:val="0"/>
          <w:numId w:val="42"/>
        </w:numPr>
        <w:spacing w:after="160"/>
        <w:jc w:val="both"/>
      </w:pPr>
      <w:r w:rsidRPr="006F3F97">
        <w:t>Beneficjent jest zobowiązany do składania do IZ rocznych sprawozdań o zakresie działalności gospodarczej prowadzonej na infrastrukturze badawczej będącej przedmiotem Projektu</w:t>
      </w:r>
      <w:r w:rsidR="00EE240C">
        <w:t xml:space="preserve"> w terminie</w:t>
      </w:r>
      <w:r w:rsidRPr="006F3F97">
        <w:t xml:space="preserve"> do </w:t>
      </w:r>
      <w:r w:rsidR="00EE240C">
        <w:t xml:space="preserve">………………. </w:t>
      </w:r>
      <w:r w:rsidRPr="006F3F97">
        <w:t>następującego po roku, którego dotyczy sprawozdanie.</w:t>
      </w:r>
    </w:p>
    <w:p w14:paraId="4B7F87FF" w14:textId="77777777" w:rsidR="006F3F97" w:rsidRPr="006F3F97" w:rsidRDefault="006F3F97" w:rsidP="00504B99">
      <w:pPr>
        <w:pStyle w:val="Akapitzlist"/>
        <w:spacing w:after="160"/>
        <w:ind w:left="360"/>
        <w:jc w:val="both"/>
      </w:pPr>
      <w:r w:rsidRPr="006F3F97">
        <w:t>Sprawozdanie zawiera w szczególności:</w:t>
      </w:r>
    </w:p>
    <w:p w14:paraId="76911AA6" w14:textId="77777777" w:rsidR="006F3F97" w:rsidRPr="006F3F97" w:rsidRDefault="00EE240C" w:rsidP="00F547E9">
      <w:pPr>
        <w:numPr>
          <w:ilvl w:val="1"/>
          <w:numId w:val="41"/>
        </w:numPr>
        <w:ind w:hanging="252"/>
        <w:jc w:val="both"/>
        <w:rPr>
          <w:bCs/>
        </w:rPr>
      </w:pPr>
      <w:r>
        <w:rPr>
          <w:bCs/>
        </w:rPr>
        <w:t>C</w:t>
      </w:r>
      <w:r w:rsidR="006F3F97" w:rsidRPr="006F3F97">
        <w:rPr>
          <w:bCs/>
        </w:rPr>
        <w:t>ałkowity poziom wykorzystania każdego składnika infrastruktury badawczej w roku, którego dotyczy sprawozdanie, wyrażony we wskaźniku wybranym do monitorowania danego składnika;</w:t>
      </w:r>
    </w:p>
    <w:p w14:paraId="37B84A6A"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gospodarczej w roku, którego dotyczy sprawozdanie, wyrażonej we wskaźniku wybranym do monitorowania danego składnika infrastruktury;</w:t>
      </w:r>
    </w:p>
    <w:p w14:paraId="340BA4F1"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niestanowiącej działalności gospodarczej w roku, którego dotyczy sprawozdanie, wyrażonej we wskaźniku wybranym do monitorowania danego wskaźnika infrastruktury;</w:t>
      </w:r>
    </w:p>
    <w:p w14:paraId="3DC382A0" w14:textId="2BB4CF2B" w:rsidR="006F3F97" w:rsidRPr="006F3F97" w:rsidRDefault="00EE240C" w:rsidP="00F547E9">
      <w:pPr>
        <w:numPr>
          <w:ilvl w:val="1"/>
          <w:numId w:val="41"/>
        </w:numPr>
        <w:ind w:hanging="252"/>
        <w:jc w:val="both"/>
        <w:rPr>
          <w:bCs/>
        </w:rPr>
      </w:pPr>
      <w:r>
        <w:rPr>
          <w:bCs/>
        </w:rPr>
        <w:t>D</w:t>
      </w:r>
      <w:r w:rsidR="006F3F97" w:rsidRPr="006F3F97">
        <w:rPr>
          <w:bCs/>
        </w:rPr>
        <w:t xml:space="preserve">okumenty potwierdzające poziom wskaźników, o których mowa w </w:t>
      </w:r>
      <w:r w:rsidR="00593290">
        <w:rPr>
          <w:bCs/>
        </w:rPr>
        <w:t>p</w:t>
      </w:r>
      <w:r w:rsidR="006F3F97" w:rsidRPr="006F3F97">
        <w:rPr>
          <w:bCs/>
        </w:rPr>
        <w:t>kt 1, 2 i 3, a</w:t>
      </w:r>
      <w:r w:rsidR="004D4EE0">
        <w:rPr>
          <w:bCs/>
        </w:rPr>
        <w:t> </w:t>
      </w:r>
      <w:r w:rsidR="006F3F97" w:rsidRPr="006F3F97">
        <w:rPr>
          <w:bCs/>
        </w:rPr>
        <w:t>w</w:t>
      </w:r>
      <w:r w:rsidR="004D4EE0">
        <w:rPr>
          <w:bCs/>
        </w:rPr>
        <w:t> </w:t>
      </w:r>
      <w:r w:rsidR="006F3F97" w:rsidRPr="006F3F97">
        <w:rPr>
          <w:bCs/>
        </w:rPr>
        <w:t>szczególności wyciąg z dokumentacji finansowo-księgowej oraz innych dokumentów, na podstawie których można potwierdzić proporcje wykorzystania infrastruktury do prowadzenia działalności gospodarczej i niegospodarczej w zakresie danego roku.</w:t>
      </w:r>
    </w:p>
    <w:p w14:paraId="1076FC22" w14:textId="77777777" w:rsidR="00B62CF1" w:rsidRPr="00774E0F" w:rsidRDefault="00B62CF1" w:rsidP="00504B99">
      <w:pPr>
        <w:pStyle w:val="Akapitzlist"/>
        <w:ind w:left="397"/>
        <w:jc w:val="both"/>
        <w:rPr>
          <w:bCs/>
          <w:sz w:val="12"/>
          <w:szCs w:val="12"/>
        </w:rPr>
      </w:pPr>
    </w:p>
    <w:p w14:paraId="61706CD4" w14:textId="77777777" w:rsidR="006F3F97" w:rsidRPr="006F3F97" w:rsidRDefault="006F3F97" w:rsidP="00F547E9">
      <w:pPr>
        <w:pStyle w:val="Akapitzlist"/>
        <w:numPr>
          <w:ilvl w:val="0"/>
          <w:numId w:val="42"/>
        </w:numPr>
        <w:spacing w:after="160"/>
        <w:jc w:val="both"/>
        <w:rPr>
          <w:bCs/>
        </w:rPr>
      </w:pPr>
      <w:r w:rsidRPr="006F3F97">
        <w:rPr>
          <w:bCs/>
        </w:rPr>
        <w:t>W przypadku, gdy w którymkolwiek roku objętym mechanizmem monitorowania i wycofania poziom zaangażowania infrastruktury badawczej do prowadzenia działalności gospodarczej przekroczy pułap</w:t>
      </w:r>
      <w:r w:rsidR="00EE240C">
        <w:rPr>
          <w:bCs/>
        </w:rPr>
        <w:t xml:space="preserve"> </w:t>
      </w:r>
      <w:r w:rsidR="00EE240C" w:rsidRPr="00FE310E">
        <w:rPr>
          <w:bCs/>
        </w:rPr>
        <w:t>……… %</w:t>
      </w:r>
      <w:r w:rsidRPr="006F3F97">
        <w:rPr>
          <w:bCs/>
        </w:rPr>
        <w:t>, Beneficjent będzie zobowiązany do zwrotu części dofinansowania uzyskanego na niegospodarczą część projektu, wyliczonej według poniższego wzoru:</w:t>
      </w:r>
    </w:p>
    <w:p w14:paraId="310BE92B" w14:textId="77777777" w:rsidR="006F3F97" w:rsidRPr="00504B99" w:rsidRDefault="006F3F97">
      <w:pPr>
        <w:pStyle w:val="Akapitzlist"/>
        <w:jc w:val="both"/>
        <w:rPr>
          <w:bCs/>
          <w:sz w:val="12"/>
          <w:szCs w:val="12"/>
        </w:rPr>
      </w:pPr>
    </w:p>
    <w:tbl>
      <w:tblPr>
        <w:tblStyle w:val="Tabela-Siatka"/>
        <w:tblW w:w="0" w:type="auto"/>
        <w:jc w:val="center"/>
        <w:tblLook w:val="04A0" w:firstRow="1" w:lastRow="0" w:firstColumn="1" w:lastColumn="0" w:noHBand="0" w:noVBand="1"/>
      </w:tblPr>
      <w:tblGrid>
        <w:gridCol w:w="9667"/>
      </w:tblGrid>
      <w:tr w:rsidR="006F3F97" w:rsidRPr="006F3F97" w14:paraId="32F0C80C" w14:textId="77777777" w:rsidTr="00504B99">
        <w:trPr>
          <w:trHeight w:val="809"/>
          <w:jc w:val="center"/>
        </w:trPr>
        <w:tc>
          <w:tcPr>
            <w:tcW w:w="9667" w:type="dxa"/>
          </w:tcPr>
          <w:p w14:paraId="30FCDC88" w14:textId="77777777" w:rsidR="006F3F97" w:rsidRPr="006F3F97" w:rsidRDefault="006F3F97">
            <w:pPr>
              <w:pStyle w:val="Akapitzlist"/>
              <w:ind w:left="29"/>
              <w:jc w:val="center"/>
              <w:rPr>
                <w:b/>
                <w:bCs/>
                <w:sz w:val="32"/>
                <w:szCs w:val="32"/>
              </w:rPr>
            </w:pPr>
          </w:p>
          <w:p w14:paraId="6FA512F0"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2AD4709C" w14:textId="77777777" w:rsidR="006F3F97" w:rsidRPr="006F3F97" w:rsidRDefault="006F3F97">
            <w:pPr>
              <w:jc w:val="both"/>
              <w:rPr>
                <w:b/>
                <w:bCs/>
              </w:rPr>
            </w:pPr>
          </w:p>
        </w:tc>
      </w:tr>
    </w:tbl>
    <w:p w14:paraId="5A3730C0" w14:textId="77777777" w:rsidR="00B62CF1" w:rsidRPr="00774E0F" w:rsidRDefault="00B62CF1" w:rsidP="00B62CF1">
      <w:pPr>
        <w:pStyle w:val="Akapitzlist"/>
        <w:jc w:val="both"/>
        <w:rPr>
          <w:bCs/>
          <w:sz w:val="12"/>
          <w:szCs w:val="12"/>
        </w:rPr>
      </w:pPr>
    </w:p>
    <w:p w14:paraId="0CF10AE4" w14:textId="77777777" w:rsidR="006F3F97" w:rsidRPr="006F3F97" w:rsidRDefault="006F3F97">
      <w:pPr>
        <w:jc w:val="both"/>
        <w:rPr>
          <w:bCs/>
          <w:u w:val="single"/>
        </w:rPr>
      </w:pPr>
      <w:r w:rsidRPr="006F3F97">
        <w:rPr>
          <w:bCs/>
          <w:u w:val="single"/>
        </w:rPr>
        <w:t>gdzie:</w:t>
      </w:r>
    </w:p>
    <w:p w14:paraId="163B7AE9" w14:textId="77777777" w:rsidR="006F3F97" w:rsidRPr="006F3F97" w:rsidRDefault="006F3F97">
      <w:pPr>
        <w:jc w:val="both"/>
        <w:rPr>
          <w:bCs/>
        </w:rPr>
      </w:pPr>
      <w:r w:rsidRPr="006F3F97">
        <w:rPr>
          <w:b/>
          <w:bCs/>
        </w:rPr>
        <w:t>Z</w:t>
      </w:r>
      <w:r w:rsidRPr="006F3F97">
        <w:rPr>
          <w:bCs/>
        </w:rPr>
        <w:t xml:space="preserve"> – kwota podlegająca zwrotowi;</w:t>
      </w:r>
    </w:p>
    <w:p w14:paraId="02E70B53" w14:textId="77777777" w:rsidR="006F3F97" w:rsidRPr="006F3F97" w:rsidRDefault="006F3F97">
      <w:pPr>
        <w:jc w:val="both"/>
        <w:rPr>
          <w:bCs/>
        </w:rPr>
      </w:pPr>
      <w:r w:rsidRPr="006F3F97">
        <w:rPr>
          <w:b/>
          <w:bCs/>
        </w:rPr>
        <w:t>SŚP</w:t>
      </w:r>
      <w:r w:rsidRPr="006F3F97">
        <w:rPr>
          <w:bCs/>
        </w:rPr>
        <w:t xml:space="preserve"> – suma środków publicznych</w:t>
      </w:r>
      <w:r w:rsidRPr="006F3F97">
        <w:rPr>
          <w:rStyle w:val="Odwoanieprzypisudolnego"/>
          <w:bCs/>
        </w:rPr>
        <w:footnoteReference w:id="32"/>
      </w:r>
      <w:r w:rsidRPr="006F3F97">
        <w:rPr>
          <w:bCs/>
        </w:rPr>
        <w:t xml:space="preserve"> udzielonych na inwestycję w zakresie infrastruktury badawczej (tj. suma dofinansowania w zakresie działalności gospodarczej i niegospodarczej, stanowiącego pomoc publiczną, jak i niestanowiącego pomocy publicznej) adekwatna do danego okresu amortyzacji;</w:t>
      </w:r>
    </w:p>
    <w:p w14:paraId="74AA17FC" w14:textId="77777777" w:rsidR="006F3F97" w:rsidRPr="006F3F97" w:rsidRDefault="006F3F97">
      <w:pPr>
        <w:jc w:val="both"/>
        <w:rPr>
          <w:bCs/>
        </w:rPr>
      </w:pPr>
      <w:r w:rsidRPr="006F3F97">
        <w:rPr>
          <w:b/>
          <w:bCs/>
        </w:rPr>
        <w:t>OA</w:t>
      </w:r>
      <w:r w:rsidRPr="006F3F97">
        <w:rPr>
          <w:bCs/>
        </w:rPr>
        <w:t xml:space="preserve"> – okres amortyzacji danego składnika infrastruktury;</w:t>
      </w:r>
    </w:p>
    <w:p w14:paraId="3C671E87" w14:textId="77777777" w:rsidR="006F3F97" w:rsidRPr="006F3F97" w:rsidRDefault="006F3F97">
      <w:pPr>
        <w:jc w:val="both"/>
        <w:rPr>
          <w:bCs/>
        </w:rPr>
      </w:pPr>
      <w:r w:rsidRPr="006F3F97">
        <w:rPr>
          <w:b/>
          <w:bCs/>
        </w:rPr>
        <w:t xml:space="preserve">DNG </w:t>
      </w:r>
      <w:r w:rsidRPr="006F3F97">
        <w:rPr>
          <w:bCs/>
        </w:rPr>
        <w:t>– procentowy udział działalności niegospodarczej w wykorzystaniu rocznych zasobów infrastruktury badawczej w danym roku sprawozdawczym;</w:t>
      </w:r>
    </w:p>
    <w:p w14:paraId="5B0AF4E3" w14:textId="77777777" w:rsidR="006F3F97" w:rsidRPr="006F3F97" w:rsidRDefault="006F3F97">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 zakresie działalności niebędącej działalnością gospodarczą (dofinansowanie niestanowiące pomocy publicznej);</w:t>
      </w:r>
    </w:p>
    <w:p w14:paraId="4E618C1E" w14:textId="77777777" w:rsidR="006F3F97" w:rsidRPr="006F3F97" w:rsidRDefault="006F3F97">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3"/>
      </w:r>
      <w:r w:rsidRPr="006F3F97">
        <w:rPr>
          <w:bCs/>
        </w:rPr>
        <w:t xml:space="preserve"> (tj. dla sumy dofinansowania w zakresie działalności gospodarczej i niegospodarczej, stanowiącego pomoc publiczną, jak i niestanowiącego pomocy publicznej) infrastruktury badawczej;</w:t>
      </w:r>
    </w:p>
    <w:p w14:paraId="0F494B12" w14:textId="77777777" w:rsidR="006F3F97" w:rsidRPr="006F3F97" w:rsidRDefault="006F3F97">
      <w:pPr>
        <w:jc w:val="both"/>
        <w:rPr>
          <w:bCs/>
        </w:rPr>
      </w:pPr>
      <w:r w:rsidRPr="006F3F97">
        <w:rPr>
          <w:b/>
          <w:bCs/>
        </w:rPr>
        <w:lastRenderedPageBreak/>
        <w:t>DG</w:t>
      </w:r>
      <w:r w:rsidRPr="006F3F97">
        <w:rPr>
          <w:bCs/>
        </w:rPr>
        <w:t xml:space="preserve"> – procentowy udział działalności gospodarczej w wykorzystaniu rocznych zasobów infrastruktury badawczej w danym roku sprawozdawczym;</w:t>
      </w:r>
    </w:p>
    <w:p w14:paraId="09D1A1CC" w14:textId="77777777" w:rsidR="006F3F97" w:rsidRDefault="006F3F97">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 zakresie działalności gospodarczej (dofinansowanie stanowiące pomoc publiczną).</w:t>
      </w:r>
    </w:p>
    <w:p w14:paraId="4A38C1B0" w14:textId="77777777" w:rsidR="00B62CF1" w:rsidRPr="00774E0F" w:rsidRDefault="00B62CF1" w:rsidP="00504B99">
      <w:pPr>
        <w:pStyle w:val="Akapitzlist"/>
        <w:jc w:val="both"/>
        <w:rPr>
          <w:bCs/>
          <w:sz w:val="12"/>
          <w:szCs w:val="12"/>
        </w:rPr>
      </w:pPr>
    </w:p>
    <w:p w14:paraId="74AB1BF5" w14:textId="29904ED1" w:rsidR="006F3F97" w:rsidRPr="006F3F97" w:rsidRDefault="006F3F97" w:rsidP="00F547E9">
      <w:pPr>
        <w:pStyle w:val="Akapitzlist"/>
        <w:numPr>
          <w:ilvl w:val="0"/>
          <w:numId w:val="42"/>
        </w:numPr>
        <w:spacing w:after="160"/>
        <w:jc w:val="both"/>
        <w:rPr>
          <w:bCs/>
        </w:rPr>
      </w:pPr>
      <w:r w:rsidRPr="006F3F97">
        <w:rPr>
          <w:bCs/>
        </w:rPr>
        <w:t>Wyliczenia kwoty podlegającej zwrotowi dokonuje IZ na podstawie sprawozdania, o</w:t>
      </w:r>
      <w:r w:rsidR="004D4EE0">
        <w:rPr>
          <w:bCs/>
        </w:rPr>
        <w:t> </w:t>
      </w:r>
      <w:r w:rsidRPr="006F3F97">
        <w:rPr>
          <w:bCs/>
        </w:rPr>
        <w:t>którym mowa w Pkt 10 niniejszego Załącznika. IZ może zażądać od Beneficjenta dodatkowych informacji lub wyjaśnień celem prawidłowego określenia wartości zwrotu.</w:t>
      </w:r>
    </w:p>
    <w:p w14:paraId="635C762B" w14:textId="77777777" w:rsidR="00B62CF1" w:rsidRPr="00774E0F" w:rsidRDefault="00B62CF1" w:rsidP="00504B99">
      <w:pPr>
        <w:pStyle w:val="Akapitzlist"/>
        <w:jc w:val="both"/>
        <w:rPr>
          <w:bCs/>
          <w:sz w:val="12"/>
          <w:szCs w:val="12"/>
        </w:rPr>
      </w:pPr>
    </w:p>
    <w:p w14:paraId="244068C2" w14:textId="77777777" w:rsidR="006F3F97" w:rsidRPr="006F3F97" w:rsidRDefault="006F3F97" w:rsidP="00F547E9">
      <w:pPr>
        <w:pStyle w:val="Akapitzlist"/>
        <w:numPr>
          <w:ilvl w:val="0"/>
          <w:numId w:val="42"/>
        </w:numPr>
        <w:spacing w:after="160"/>
        <w:jc w:val="both"/>
        <w:rPr>
          <w:bCs/>
        </w:rPr>
      </w:pPr>
      <w:r w:rsidRPr="006F3F97">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55FFA122" w14:textId="77777777" w:rsidR="00B62CF1" w:rsidRPr="00774E0F" w:rsidRDefault="00B62CF1" w:rsidP="00504B99">
      <w:pPr>
        <w:pStyle w:val="Akapitzlist"/>
        <w:jc w:val="both"/>
        <w:rPr>
          <w:bCs/>
          <w:sz w:val="12"/>
          <w:szCs w:val="12"/>
        </w:rPr>
      </w:pPr>
    </w:p>
    <w:p w14:paraId="7ABE0975" w14:textId="3476A4E0" w:rsidR="006F3F97" w:rsidRPr="006F3F97" w:rsidRDefault="006F3F97" w:rsidP="00F547E9">
      <w:pPr>
        <w:pStyle w:val="Akapitzlist"/>
        <w:numPr>
          <w:ilvl w:val="0"/>
          <w:numId w:val="42"/>
        </w:numPr>
        <w:spacing w:after="160"/>
        <w:jc w:val="both"/>
        <w:rPr>
          <w:bCs/>
        </w:rPr>
      </w:pPr>
      <w:r w:rsidRPr="006F3F97">
        <w:rPr>
          <w:bCs/>
        </w:rPr>
        <w:t>Beneficjent zwraca kwotę podlegającą zwrotowi do Instytucji Zarządzającej w terminie 60 dni od zakończenia danego roku sprawozdawczego. Kwota zwrócona w terminie, o którym mowa w</w:t>
      </w:r>
      <w:r w:rsidR="002203C4">
        <w:rPr>
          <w:bCs/>
        </w:rPr>
        <w:t> </w:t>
      </w:r>
      <w:r w:rsidRPr="006F3F97">
        <w:rPr>
          <w:bCs/>
        </w:rPr>
        <w:t>zdaniu poprzedzającym, nie podlega powiększeniu o odsetki.</w:t>
      </w:r>
    </w:p>
    <w:p w14:paraId="677DD546" w14:textId="77777777" w:rsidR="00B62CF1" w:rsidRPr="00774E0F" w:rsidRDefault="00B62CF1" w:rsidP="00504B99">
      <w:pPr>
        <w:pStyle w:val="Akapitzlist"/>
        <w:jc w:val="both"/>
        <w:rPr>
          <w:bCs/>
          <w:sz w:val="12"/>
          <w:szCs w:val="12"/>
        </w:rPr>
      </w:pPr>
    </w:p>
    <w:p w14:paraId="7D4C77F1" w14:textId="00BBAD6D"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14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 wysokości określonej jak dla zaległości podatkowych, liczonymi od dnia przekazania środków.</w:t>
      </w:r>
    </w:p>
    <w:p w14:paraId="79A24C9D" w14:textId="77777777" w:rsidR="00B62CF1" w:rsidRPr="00774E0F" w:rsidRDefault="00B62CF1" w:rsidP="00504B99">
      <w:pPr>
        <w:pStyle w:val="Akapitzlist"/>
        <w:jc w:val="both"/>
        <w:rPr>
          <w:bCs/>
          <w:sz w:val="12"/>
          <w:szCs w:val="12"/>
        </w:rPr>
      </w:pPr>
    </w:p>
    <w:p w14:paraId="66459711" w14:textId="7A5055B3" w:rsidR="006F3F97" w:rsidRPr="006F3F97" w:rsidRDefault="006F3F97" w:rsidP="00F547E9">
      <w:pPr>
        <w:pStyle w:val="Akapitzlist"/>
        <w:numPr>
          <w:ilvl w:val="0"/>
          <w:numId w:val="42"/>
        </w:numPr>
        <w:spacing w:after="160"/>
        <w:jc w:val="both"/>
      </w:pPr>
      <w:r w:rsidRPr="006F3F97">
        <w:t>W przypadku wykorzystania infrastruktury powyżej poziomu 20% do celów działalności gospodarczej,</w:t>
      </w:r>
      <w:r w:rsidR="0034751A">
        <w:t xml:space="preserve"> </w:t>
      </w:r>
      <w:r w:rsidRPr="006F3F97">
        <w:t>o czym mowa w motywie (49) preambuły Rozporządzenia 651/2014, poza dokonaniem zwrotu części dofinansowania, konieczne jest przeprowadzenie procedury legalizacji pomocy publicznej nie podlegającej zwrotowi. Legalizacja pomocy publicznej wymaga weryfikacji zgodności z obowiązującymi przepisami prawa oraz podpisania aneksu do Umowy o</w:t>
      </w:r>
      <w:r w:rsidR="00B62CF1">
        <w:t> </w:t>
      </w:r>
      <w:r w:rsidRPr="006F3F97">
        <w:t>dofinansowanie.</w:t>
      </w:r>
    </w:p>
    <w:p w14:paraId="16C14849" w14:textId="77777777" w:rsidR="00B62CF1" w:rsidRPr="00774E0F" w:rsidRDefault="00B62CF1" w:rsidP="00504B99">
      <w:pPr>
        <w:pStyle w:val="Akapitzlist"/>
        <w:jc w:val="both"/>
        <w:rPr>
          <w:bCs/>
          <w:sz w:val="12"/>
          <w:szCs w:val="12"/>
        </w:rPr>
      </w:pPr>
    </w:p>
    <w:p w14:paraId="3F3AAC69" w14:textId="1C74A94D" w:rsidR="006F3F97" w:rsidRPr="006F3F97" w:rsidRDefault="006F3F97" w:rsidP="001B67B4">
      <w:pPr>
        <w:pStyle w:val="Akapitzlist"/>
        <w:numPr>
          <w:ilvl w:val="0"/>
          <w:numId w:val="4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bookmarkStart w:id="16" w:name="_Hlk132376422"/>
      <w:r w:rsidR="001D33F9">
        <w:t xml:space="preserve">- </w:t>
      </w:r>
      <w:r w:rsidR="001B67B4" w:rsidRPr="001B67B4">
        <w:t xml:space="preserve">Beneficjent </w:t>
      </w:r>
      <w:r w:rsidR="001B67B4">
        <w:t xml:space="preserve">jest zobowiązany </w:t>
      </w:r>
      <w:r w:rsidR="001B67B4" w:rsidRPr="001B67B4">
        <w:t xml:space="preserve">w ciągu 30 dni </w:t>
      </w:r>
      <w:r w:rsidR="001B67B4">
        <w:t xml:space="preserve">poinformować </w:t>
      </w:r>
      <w:r w:rsidR="001B67B4" w:rsidRPr="001B67B4">
        <w:t>IZ o tym fakcie, oraz dokon</w:t>
      </w:r>
      <w:r w:rsidR="001D33F9">
        <w:t>ać</w:t>
      </w:r>
      <w:r w:rsidR="001B67B4" w:rsidRPr="001B67B4">
        <w:t xml:space="preserve"> zwrotu VAT w terminie wskazanym przez IZ, nie krótszym niż 7 dni. W uzasadnionych przypadkach termin ten może zostać przedłużony przez IZ na wniosek Beneficjenta</w:t>
      </w:r>
      <w:r w:rsidR="001D33F9">
        <w:t xml:space="preserve">. </w:t>
      </w:r>
      <w:bookmarkEnd w:id="16"/>
      <w:r w:rsidRPr="006F3F97">
        <w:t>W przypadku zmiany kwalifikowalności VAT i związanej z tym korekty kosztów kwalifikowalnych oraz poziomu dofinansowania, konieczne jest uwzględnienie takich korekt w</w:t>
      </w:r>
      <w:r w:rsidR="00B62CF1">
        <w:t> </w:t>
      </w:r>
      <w:r w:rsidRPr="006F3F97">
        <w:t>ramach wyliczenia kwoty podlegającej zwrotowi, o czym mowa w Pkt 13 niniejszego Załącznika.</w:t>
      </w:r>
    </w:p>
    <w:p w14:paraId="48F50459" w14:textId="77777777" w:rsidR="00B62CF1" w:rsidRPr="00774E0F" w:rsidRDefault="00B62CF1" w:rsidP="00504B99">
      <w:pPr>
        <w:pStyle w:val="Akapitzlist"/>
        <w:jc w:val="both"/>
        <w:rPr>
          <w:bCs/>
          <w:sz w:val="12"/>
          <w:szCs w:val="12"/>
        </w:rPr>
      </w:pPr>
    </w:p>
    <w:p w14:paraId="7D7B6FA1" w14:textId="248A7B9F"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17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w:t>
      </w:r>
      <w:r w:rsidR="00B62CF1">
        <w:t> </w:t>
      </w:r>
      <w:r w:rsidRPr="006F3F97">
        <w:t>wysokości określonej jak dla zaległości podatkowych, liczonymi od dnia przekazania środków.</w:t>
      </w:r>
    </w:p>
    <w:p w14:paraId="037670B3" w14:textId="77777777" w:rsidR="006F3F97" w:rsidRPr="006F3F97" w:rsidRDefault="006F3F97">
      <w:pPr>
        <w:jc w:val="both"/>
      </w:pPr>
    </w:p>
    <w:p w14:paraId="71CE2438" w14:textId="77777777" w:rsidR="00E35E82" w:rsidRDefault="00E35E82">
      <w:pPr>
        <w:spacing w:after="160" w:line="259" w:lineRule="auto"/>
      </w:pPr>
      <w:r>
        <w:br w:type="page"/>
      </w: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04E50E5A" w:rsidR="00804106" w:rsidRPr="00555029" w:rsidRDefault="00804106">
      <w:pPr>
        <w:pStyle w:val="Nagwek"/>
        <w:jc w:val="right"/>
        <w:rPr>
          <w:i/>
        </w:rPr>
      </w:pPr>
      <w:r>
        <w:rPr>
          <w:i/>
        </w:rPr>
        <w:t xml:space="preserve">Załącznik nr </w:t>
      </w:r>
      <w:r w:rsidR="00606C17">
        <w:rPr>
          <w:i/>
        </w:rPr>
        <w:t>5</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34"/>
      </w:r>
    </w:p>
    <w:p w14:paraId="739B118A" w14:textId="77777777" w:rsidR="006F3F97" w:rsidRPr="006F3F97" w:rsidRDefault="006F3F97">
      <w:pPr>
        <w:ind w:left="2520"/>
        <w:jc w:val="both"/>
        <w:rPr>
          <w:bCs/>
        </w:rPr>
      </w:pPr>
    </w:p>
    <w:p w14:paraId="1EFCD5B8" w14:textId="57A38003"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5"/>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6"/>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7"/>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38"/>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547E9">
      <w:pPr>
        <w:pStyle w:val="Akapitzlist"/>
        <w:numPr>
          <w:ilvl w:val="0"/>
          <w:numId w:val="52"/>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9"/>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40"/>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56014163" w:rsidR="004A53C0" w:rsidRPr="00555029" w:rsidRDefault="004A53C0" w:rsidP="004A53C0">
      <w:pPr>
        <w:pStyle w:val="Nagwek"/>
        <w:jc w:val="right"/>
        <w:rPr>
          <w:i/>
        </w:rPr>
      </w:pPr>
      <w:r>
        <w:rPr>
          <w:i/>
        </w:rPr>
        <w:t xml:space="preserve">Załącznik nr </w:t>
      </w:r>
      <w:r w:rsidR="00606C17">
        <w:rPr>
          <w:i/>
        </w:rPr>
        <w:t>6</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 xml:space="preserve">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41"/>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319E4722" w:rsidR="00034D96" w:rsidRPr="00034D96" w:rsidRDefault="00034D96" w:rsidP="00034D96">
      <w:pPr>
        <w:jc w:val="right"/>
        <w:rPr>
          <w:i/>
          <w:iCs/>
        </w:rPr>
      </w:pPr>
      <w:r w:rsidRPr="00034D96">
        <w:rPr>
          <w:i/>
          <w:iCs/>
        </w:rPr>
        <w:lastRenderedPageBreak/>
        <w:t xml:space="preserve">Załącznik nr </w:t>
      </w:r>
      <w:r>
        <w:rPr>
          <w:i/>
          <w:iCs/>
        </w:rPr>
        <w:t>7</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7"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515D">
      <w:pPr>
        <w:keepNext/>
        <w:numPr>
          <w:ilvl w:val="0"/>
          <w:numId w:val="85"/>
        </w:numPr>
        <w:spacing w:before="240" w:after="240" w:line="276" w:lineRule="auto"/>
        <w:ind w:left="426"/>
        <w:outlineLvl w:val="1"/>
        <w:rPr>
          <w:b/>
          <w:bCs/>
          <w:iCs/>
          <w:lang w:val="x-none" w:eastAsia="x-none"/>
        </w:rPr>
      </w:pPr>
      <w:bookmarkStart w:id="18"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4E0BC539" wp14:editId="55AC25A4">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515D">
      <w:pPr>
        <w:keepNext/>
        <w:numPr>
          <w:ilvl w:val="1"/>
          <w:numId w:val="85"/>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42"/>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515D">
      <w:pPr>
        <w:keepNext/>
        <w:numPr>
          <w:ilvl w:val="0"/>
          <w:numId w:val="85"/>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7ADC431A"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t>
      </w:r>
      <w:r w:rsidR="0051759C">
        <w:rPr>
          <w:rFonts w:eastAsia="Calibri"/>
          <w:lang w:eastAsia="en-US"/>
        </w:rPr>
        <w:t>całkowitego kosztu</w:t>
      </w:r>
      <w:r w:rsidRPr="0034515D">
        <w:rPr>
          <w:rFonts w:eastAsia="Calibri"/>
          <w:lang w:eastAsia="en-US"/>
        </w:rPr>
        <w:t xml:space="preserve"> projektu. Zarówno tablice, jak i plakaty, muszą znajdować się </w:t>
      </w:r>
      <w:r w:rsidRPr="0034515D">
        <w:rPr>
          <w:rFonts w:eastAsia="Calibri"/>
          <w:b/>
          <w:bCs/>
          <w:lang w:eastAsia="en-US"/>
        </w:rPr>
        <w:t>w miejscu dobrze widocznym</w:t>
      </w:r>
      <w:r w:rsidR="0051759C">
        <w:rPr>
          <w:rFonts w:eastAsia="Calibri"/>
          <w:b/>
          <w:bCs/>
          <w:lang w:eastAsia="en-US"/>
        </w:rPr>
        <w:t xml:space="preserve"> dla społeczeństwa</w:t>
      </w:r>
      <w:r w:rsidRPr="0034515D">
        <w:rPr>
          <w:rFonts w:eastAsia="Calibri"/>
          <w:b/>
          <w:bCs/>
          <w:lang w:eastAsia="en-US"/>
        </w:rPr>
        <w:t>.</w:t>
      </w:r>
    </w:p>
    <w:p w14:paraId="3EC2E639"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515D">
      <w:pPr>
        <w:keepNext/>
        <w:numPr>
          <w:ilvl w:val="2"/>
          <w:numId w:val="85"/>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 xml:space="preserve">adres portalu </w:t>
      </w:r>
      <w:hyperlink r:id="rId22"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2C0F0A22" w:rsidR="0034515D" w:rsidRPr="0034515D" w:rsidRDefault="0034515D" w:rsidP="0034515D">
      <w:pPr>
        <w:spacing w:after="200" w:line="276" w:lineRule="auto"/>
        <w:rPr>
          <w:rFonts w:eastAsia="Calibri"/>
          <w:lang w:eastAsia="en-US"/>
        </w:rPr>
      </w:pPr>
      <w:r w:rsidRPr="0034515D">
        <w:rPr>
          <w:rFonts w:eastAsia="Calibri"/>
          <w:lang w:eastAsia="en-US"/>
        </w:rPr>
        <w:t>Tablicę informacyjną umieść w miejscu realizacji projektu, np. tam, gdzie prowadzone są prace budowlane lub infrastrukturalne</w:t>
      </w:r>
      <w:r w:rsidR="0051759C">
        <w:rPr>
          <w:rFonts w:eastAsia="Calibri"/>
          <w:lang w:eastAsia="en-US"/>
        </w:rPr>
        <w:t xml:space="preserve"> lub instalujesz sprzęt</w:t>
      </w:r>
      <w:r w:rsidRPr="0034515D">
        <w:rPr>
          <w:rFonts w:eastAsia="Calibri"/>
          <w:lang w:eastAsia="en-US"/>
        </w:rPr>
        <w:t xml:space="preserve">. </w:t>
      </w:r>
    </w:p>
    <w:p w14:paraId="6B42A415" w14:textId="6F0727D1" w:rsidR="0034515D" w:rsidRPr="0034515D" w:rsidRDefault="0034515D" w:rsidP="0034515D">
      <w:pPr>
        <w:spacing w:after="200" w:line="276" w:lineRule="auto"/>
        <w:rPr>
          <w:rFonts w:eastAsia="Calibri"/>
          <w:lang w:eastAsia="en-US"/>
        </w:rPr>
      </w:pPr>
      <w:r w:rsidRPr="0034515D">
        <w:rPr>
          <w:rFonts w:eastAsia="Calibri"/>
          <w:lang w:eastAsia="en-US"/>
        </w:rPr>
        <w:t xml:space="preserve">Jeżeli realizujesz projekt, ale nie przewidujesz w nim prac budowlanych lub infrastrukturalnych, a planujesz inwestycje rzeczowe lub zakup sprzętu, to tablica powinna znajdować się na lub przed siedzibą </w:t>
      </w:r>
      <w:r w:rsidR="0051759C">
        <w:rPr>
          <w:rFonts w:eastAsia="Calibri"/>
          <w:lang w:eastAsia="en-US"/>
        </w:rPr>
        <w:t>lub budynkiem, gdzie projekt jest realizowany</w:t>
      </w:r>
      <w:r w:rsidRPr="0034515D">
        <w:rPr>
          <w:rFonts w:eastAsia="Calibri"/>
          <w:lang w:eastAsia="en-US"/>
        </w:rPr>
        <w:t>.</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4AA8966D" w:rsidR="0034515D" w:rsidRDefault="0034515D" w:rsidP="0034515D">
      <w:pPr>
        <w:spacing w:after="200" w:line="276" w:lineRule="auto"/>
        <w:rPr>
          <w:rFonts w:eastAsia="Calibri"/>
          <w:lang w:eastAsia="en-US"/>
        </w:rPr>
      </w:pPr>
      <w:r w:rsidRPr="0034515D">
        <w:rPr>
          <w:rFonts w:eastAsia="Calibri"/>
          <w:lang w:eastAsia="en-US"/>
        </w:rPr>
        <w:t xml:space="preserve">Jeśli prowadzisz prace </w:t>
      </w:r>
      <w:r w:rsidR="0051759C">
        <w:rPr>
          <w:rFonts w:eastAsia="Calibri"/>
          <w:lang w:eastAsia="en-US"/>
        </w:rPr>
        <w:t xml:space="preserve">(lub instalujesz sprzęt) </w:t>
      </w:r>
      <w:r w:rsidRPr="0034515D">
        <w:rPr>
          <w:rFonts w:eastAsia="Calibri"/>
          <w:lang w:eastAsia="en-US"/>
        </w:rPr>
        <w:t xml:space="preserve">w kilku lokalizacjach, należy ustawić kilka tablic w kluczowych dla projektu miejscach. W przypadku inwestycji liniowych (takich jak np. drogi, </w:t>
      </w:r>
      <w:r w:rsidRPr="0034515D">
        <w:rPr>
          <w:rFonts w:eastAsia="Calibri"/>
          <w:lang w:eastAsia="en-US"/>
        </w:rPr>
        <w:lastRenderedPageBreak/>
        <w:t>koleje, ścieżki rowerowe etc.) umieść przynajmniej dwie tablice informacyjne: na odcinku początkowym i końcowym. Tablic może być więcej, w zależności od potrzeb.</w:t>
      </w:r>
    </w:p>
    <w:p w14:paraId="4AA2474A" w14:textId="77777777" w:rsidR="0051759C" w:rsidRPr="00CB0E8C" w:rsidRDefault="0051759C" w:rsidP="0051759C">
      <w:pPr>
        <w:spacing w:after="200" w:line="276" w:lineRule="auto"/>
        <w:rPr>
          <w:rFonts w:eastAsia="Calibri"/>
          <w:lang w:eastAsia="en-US"/>
        </w:rPr>
      </w:pPr>
      <w:r w:rsidRPr="00CB0E8C">
        <w:rPr>
          <w:rFonts w:eastAsia="Calibri"/>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4E95AD8F" w14:textId="77777777" w:rsidR="0051759C" w:rsidRPr="00CB0E8C" w:rsidRDefault="0051759C" w:rsidP="0051759C">
      <w:pPr>
        <w:spacing w:after="200" w:line="276" w:lineRule="auto"/>
        <w:rPr>
          <w:rFonts w:eastAsia="Calibri"/>
          <w:lang w:eastAsia="en-US"/>
        </w:rPr>
      </w:pPr>
      <w:r w:rsidRPr="00CB0E8C">
        <w:rPr>
          <w:rFonts w:eastAsia="Calibri"/>
          <w:b/>
          <w:bCs/>
          <w:lang w:eastAsia="en-US"/>
        </w:rPr>
        <w:t xml:space="preserve">a) </w:t>
      </w:r>
      <w:r w:rsidRPr="00CB0E8C">
        <w:rPr>
          <w:rFonts w:eastAsia="Calibri"/>
          <w:lang w:eastAsia="en-US"/>
        </w:rPr>
        <w:t xml:space="preserve">infrastruktury drogowej, kolejowej, morskiej, wodnej śródlądowej, lotniczej, telekomunikacyjnej, teleinformatycznej, cyfrowej, przesyłowej lub komunalnej, </w:t>
      </w:r>
    </w:p>
    <w:p w14:paraId="5F303252" w14:textId="77777777" w:rsidR="0051759C" w:rsidRPr="00CB0E8C" w:rsidRDefault="0051759C" w:rsidP="0051759C">
      <w:pPr>
        <w:spacing w:after="200" w:line="276" w:lineRule="auto"/>
        <w:rPr>
          <w:rFonts w:eastAsia="Calibri"/>
          <w:lang w:eastAsia="en-US"/>
        </w:rPr>
      </w:pPr>
      <w:r w:rsidRPr="00CB0E8C">
        <w:rPr>
          <w:rFonts w:eastAsia="Calibri"/>
          <w:b/>
          <w:bCs/>
          <w:lang w:eastAsia="en-US"/>
        </w:rPr>
        <w:t xml:space="preserve">b) </w:t>
      </w:r>
      <w:r w:rsidRPr="00CB0E8C">
        <w:rPr>
          <w:rFonts w:eastAsia="Calibri"/>
          <w:lang w:eastAsia="en-US"/>
        </w:rPr>
        <w:t xml:space="preserve">prac budowlanych, </w:t>
      </w:r>
    </w:p>
    <w:p w14:paraId="570758CB" w14:textId="77777777" w:rsidR="0051759C" w:rsidRPr="00CB0E8C" w:rsidRDefault="0051759C" w:rsidP="0051759C">
      <w:pPr>
        <w:spacing w:after="200" w:line="276" w:lineRule="auto"/>
        <w:rPr>
          <w:rFonts w:eastAsia="Calibri"/>
          <w:b/>
          <w:bCs/>
          <w:lang w:eastAsia="en-US"/>
        </w:rPr>
      </w:pPr>
      <w:r w:rsidRPr="00CB0E8C">
        <w:rPr>
          <w:rFonts w:eastAsia="Calibri"/>
          <w:b/>
          <w:bCs/>
          <w:lang w:eastAsia="en-US"/>
        </w:rPr>
        <w:t xml:space="preserve">umieść tablicę informacyjną o wymiarach 240/120 cm. </w:t>
      </w:r>
    </w:p>
    <w:p w14:paraId="4FE637E4" w14:textId="77777777" w:rsidR="0051759C" w:rsidRPr="00CB0E8C" w:rsidRDefault="0051759C" w:rsidP="0051759C">
      <w:pPr>
        <w:spacing w:after="200" w:line="276" w:lineRule="auto"/>
        <w:rPr>
          <w:rFonts w:eastAsia="Calibri"/>
          <w:b/>
          <w:bCs/>
          <w:lang w:eastAsia="en-US"/>
        </w:rPr>
      </w:pPr>
      <w:r w:rsidRPr="00CB0E8C">
        <w:rPr>
          <w:rFonts w:eastAsia="Calibri"/>
          <w:lang w:eastAsia="en-US"/>
        </w:rPr>
        <w:t>Jeśli realizujesz projekt obejmujący działania w zakresie infrastruktury (</w:t>
      </w:r>
      <w:proofErr w:type="spellStart"/>
      <w:r w:rsidRPr="00CB0E8C">
        <w:rPr>
          <w:rFonts w:eastAsia="Calibri"/>
          <w:lang w:eastAsia="en-US"/>
        </w:rPr>
        <w:t>ppkt</w:t>
      </w:r>
      <w:proofErr w:type="spellEnd"/>
      <w:r w:rsidRPr="00CB0E8C">
        <w:rPr>
          <w:rFonts w:eastAsia="Calibri"/>
          <w:lang w:eastAsia="en-US"/>
        </w:rPr>
        <w:t xml:space="preserve">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CB0E8C">
        <w:rPr>
          <w:rFonts w:eastAsia="Calibri"/>
          <w:b/>
          <w:bCs/>
          <w:lang w:eastAsia="en-US"/>
        </w:rPr>
        <w:t>możesz umieścić tablicę informacyjną o wymiarach 120/60 cm.</w:t>
      </w:r>
    </w:p>
    <w:p w14:paraId="4353F029" w14:textId="64017000" w:rsidR="0051759C" w:rsidRPr="0051759C" w:rsidRDefault="0051759C" w:rsidP="0034515D">
      <w:pPr>
        <w:spacing w:after="200" w:line="276" w:lineRule="auto"/>
        <w:rPr>
          <w:rFonts w:eastAsia="Calibri"/>
          <w:b/>
          <w:bCs/>
          <w:lang w:eastAsia="en-US"/>
        </w:rPr>
      </w:pPr>
      <w:r w:rsidRPr="00CB0E8C">
        <w:rPr>
          <w:rFonts w:eastAsia="Calibri"/>
          <w:b/>
          <w:bCs/>
          <w:lang w:eastAsia="en-US"/>
        </w:rPr>
        <w:t>Jeśli realizujesz projekt obejmujący tylko zakup sprzętu, umieść tablicę informacyjną o wymiarach 80/40 cm.</w:t>
      </w:r>
    </w:p>
    <w:p w14:paraId="211F4A65"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Kiedy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17AF9B8E"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515D">
      <w:pPr>
        <w:keepNext/>
        <w:numPr>
          <w:ilvl w:val="2"/>
          <w:numId w:val="9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lastRenderedPageBreak/>
        <w:t>nazwę beneficjenta,</w:t>
      </w:r>
    </w:p>
    <w:p w14:paraId="749AC0BD"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tytuł projektu,</w:t>
      </w:r>
    </w:p>
    <w:p w14:paraId="6FE11AE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6FC1232A" w14:textId="7EB0B9E5" w:rsidR="0086646D" w:rsidRPr="0034515D" w:rsidRDefault="0086646D" w:rsidP="0034515D">
      <w:pPr>
        <w:spacing w:after="200" w:line="276" w:lineRule="auto"/>
        <w:rPr>
          <w:rFonts w:eastAsia="Calibri"/>
          <w:lang w:eastAsia="en-US"/>
        </w:rPr>
      </w:pPr>
      <w:r w:rsidRPr="00CB0E8C">
        <w:rPr>
          <w:rFonts w:eastAsia="Calibri"/>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02D5FBF6"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lastRenderedPageBreak/>
        <w:t xml:space="preserve">Jak oznaczyć sprzęt i wyposażenie zakupione/powstałe w projekcie? </w:t>
      </w:r>
    </w:p>
    <w:p w14:paraId="79343586"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t xml:space="preserve"> </w:t>
      </w:r>
      <w:r w:rsidRPr="0034515D">
        <w:rPr>
          <w:rFonts w:eastAsia="Calibri"/>
          <w:noProof/>
          <w:lang w:eastAsia="en-US"/>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4FCCACCC"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sprzętach, maszynach, urządzeniach (np. maszyny, urządzenia produkcyjne, laboratoryjne, komputery, laptopy</w:t>
      </w:r>
      <w:r w:rsidR="0086646D">
        <w:rPr>
          <w:rFonts w:eastAsia="Calibri"/>
          <w:lang w:eastAsia="en-US"/>
        </w:rPr>
        <w:t>, tablety, drukarki</w:t>
      </w:r>
      <w:r w:rsidRPr="0034515D">
        <w:rPr>
          <w:rFonts w:eastAsia="Calibri"/>
          <w:lang w:eastAsia="en-US"/>
        </w:rPr>
        <w:t xml:space="preserve">), </w:t>
      </w:r>
    </w:p>
    <w:p w14:paraId="4C7DCA9D" w14:textId="77777777"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46EF4C3C" w:rsidR="0034515D" w:rsidRPr="0034515D" w:rsidRDefault="0034515D" w:rsidP="0034515D">
      <w:pPr>
        <w:numPr>
          <w:ilvl w:val="0"/>
          <w:numId w:val="86"/>
        </w:numPr>
        <w:spacing w:before="120" w:after="120" w:line="276" w:lineRule="auto"/>
        <w:jc w:val="both"/>
        <w:rPr>
          <w:rFonts w:eastAsia="Calibri"/>
          <w:lang w:eastAsia="en-US"/>
        </w:rPr>
      </w:pPr>
      <w:r w:rsidRPr="0034515D">
        <w:rPr>
          <w:rFonts w:eastAsia="Calibri"/>
          <w:lang w:eastAsia="en-US"/>
        </w:rPr>
        <w:t>aparaturze (np. laboratoryjnej, medycznej),</w:t>
      </w:r>
    </w:p>
    <w:p w14:paraId="7E4CC03D"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lastRenderedPageBreak/>
        <w:t>grupy docelowe (do kogo skierowany jest projekt, kto z niego skorzysta),</w:t>
      </w:r>
    </w:p>
    <w:p w14:paraId="4BDBCDE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w:t>
      </w:r>
      <w:proofErr w:type="spellStart"/>
      <w:r w:rsidRPr="0034515D">
        <w:rPr>
          <w:rFonts w:eastAsia="Calibri"/>
          <w:b/>
          <w:bCs/>
          <w:lang w:eastAsia="en-US"/>
        </w:rPr>
        <w:t>pkty</w:t>
      </w:r>
      <w:proofErr w:type="spellEnd"/>
      <w:r w:rsidRPr="0034515D">
        <w:rPr>
          <w:rFonts w:eastAsia="Calibri"/>
          <w:b/>
          <w:bCs/>
          <w:lang w:eastAsia="en-US"/>
        </w:rPr>
        <w:t xml:space="preserve">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 xml:space="preserve">zawsze w wariancie </w:t>
      </w:r>
      <w:proofErr w:type="spellStart"/>
      <w:r w:rsidRPr="0034515D">
        <w:rPr>
          <w:rFonts w:eastAsia="Calibri"/>
          <w:b/>
          <w:bCs/>
          <w:lang w:eastAsia="en-US"/>
        </w:rPr>
        <w:t>pełnokolorowym</w:t>
      </w:r>
      <w:proofErr w:type="spellEnd"/>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34515D">
        <w:rPr>
          <w:rFonts w:eastAsia="Calibri"/>
          <w:lang w:eastAsia="en-US"/>
        </w:rPr>
        <w:t>NextGenerationEU</w:t>
      </w:r>
      <w:proofErr w:type="spellEnd"/>
      <w:r w:rsidRPr="0034515D">
        <w:rPr>
          <w:rFonts w:eastAsia="Calibri"/>
          <w:lang w:eastAsia="en-US"/>
        </w:rPr>
        <w:t>”.</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lang w:eastAsia="en-US"/>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 xml:space="preserve">Dofinansowane przez Unię Europejską – </w:t>
      </w:r>
      <w:proofErr w:type="spellStart"/>
      <w:r w:rsidRPr="0034515D">
        <w:rPr>
          <w:rFonts w:eastAsia="Calibri"/>
          <w:lang w:eastAsia="en-US"/>
        </w:rPr>
        <w:t>NextGenerationEU</w:t>
      </w:r>
      <w:proofErr w:type="spellEnd"/>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66F3899F" w:rsidR="0034515D" w:rsidRPr="0034515D" w:rsidRDefault="0034515D" w:rsidP="0034515D">
      <w:pPr>
        <w:spacing w:after="200" w:line="276" w:lineRule="auto"/>
        <w:rPr>
          <w:rFonts w:eastAsia="Calibri"/>
          <w:lang w:eastAsia="en-US"/>
        </w:rPr>
      </w:pPr>
      <w:r w:rsidRPr="0034515D">
        <w:rPr>
          <w:rFonts w:eastAsia="Calibri"/>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28" w:history="1">
        <w:r w:rsidR="002D3C5C" w:rsidRPr="00E4500B">
          <w:rPr>
            <w:rStyle w:val="Hipercze"/>
            <w:rFonts w:eastAsia="Calibri"/>
            <w:lang w:eastAsia="en-US"/>
          </w:rPr>
          <w:t>https://funduszeuepodlaskie.pl/poradnik-realizuje-projekt/poznaj-zasady-informowania-o-projekcie/</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29"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8"/>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7"/>
    <w:p w14:paraId="2DE31612" w14:textId="77777777" w:rsidR="00AC3F85" w:rsidRPr="00E82F5D" w:rsidRDefault="00AC3F85" w:rsidP="00C91237">
      <w:pPr>
        <w:tabs>
          <w:tab w:val="left" w:pos="7035"/>
        </w:tabs>
        <w:ind w:right="-1"/>
        <w:jc w:val="both"/>
        <w:sectPr w:rsidR="00AC3F85" w:rsidRPr="00E82F5D" w:rsidSect="00EF5D91">
          <w:footerReference w:type="default" r:id="rId30"/>
          <w:headerReference w:type="first" r:id="rId31"/>
          <w:pgSz w:w="11906" w:h="16838"/>
          <w:pgMar w:top="851" w:right="1133" w:bottom="993" w:left="993" w:header="709" w:footer="403" w:gutter="0"/>
          <w:pgNumType w:fmt="numberInDash"/>
          <w:cols w:space="708"/>
          <w:titlePg/>
          <w:docGrid w:linePitch="360"/>
        </w:sectPr>
      </w:pPr>
    </w:p>
    <w:p w14:paraId="5EA489A4" w14:textId="43B7E3A4" w:rsidR="00AF2057" w:rsidRPr="00555029" w:rsidRDefault="00AF2057" w:rsidP="00AF2057">
      <w:pPr>
        <w:pStyle w:val="Nagwek"/>
        <w:jc w:val="right"/>
        <w:rPr>
          <w:i/>
        </w:rPr>
      </w:pPr>
      <w:r>
        <w:rPr>
          <w:i/>
        </w:rPr>
        <w:lastRenderedPageBreak/>
        <w:t xml:space="preserve">Załącznik nr </w:t>
      </w:r>
      <w:r w:rsidR="004C4D23">
        <w:rPr>
          <w:i/>
        </w:rPr>
        <w:t>8</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E75337">
            <w:pPr>
              <w:numPr>
                <w:ilvl w:val="0"/>
                <w:numId w:val="115"/>
              </w:numPr>
              <w:tabs>
                <w:tab w:val="left" w:pos="7035"/>
              </w:tabs>
              <w:jc w:val="both"/>
            </w:pPr>
            <w:r w:rsidRPr="00E75337">
              <w:t xml:space="preserve">tytuł projektu lub jego skróconą nazwę, </w:t>
            </w:r>
          </w:p>
          <w:p w14:paraId="448F344B" w14:textId="77777777" w:rsidR="00E75337" w:rsidRPr="00E75337" w:rsidRDefault="00E75337" w:rsidP="00E75337">
            <w:pPr>
              <w:numPr>
                <w:ilvl w:val="0"/>
                <w:numId w:val="11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E75337">
            <w:pPr>
              <w:numPr>
                <w:ilvl w:val="0"/>
                <w:numId w:val="11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E75337">
            <w:pPr>
              <w:numPr>
                <w:ilvl w:val="0"/>
                <w:numId w:val="11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E75337">
            <w:pPr>
              <w:numPr>
                <w:ilvl w:val="0"/>
                <w:numId w:val="115"/>
              </w:numPr>
              <w:tabs>
                <w:tab w:val="left" w:pos="7035"/>
              </w:tabs>
              <w:jc w:val="both"/>
            </w:pPr>
            <w:r w:rsidRPr="00E75337">
              <w:t xml:space="preserve">cel lub cele projektu, </w:t>
            </w:r>
          </w:p>
          <w:p w14:paraId="78821CC7" w14:textId="77777777" w:rsidR="00E75337" w:rsidRPr="00E75337" w:rsidRDefault="00E75337" w:rsidP="00E75337">
            <w:pPr>
              <w:numPr>
                <w:ilvl w:val="0"/>
                <w:numId w:val="11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E75337">
            <w:pPr>
              <w:numPr>
                <w:ilvl w:val="0"/>
                <w:numId w:val="115"/>
              </w:numPr>
              <w:tabs>
                <w:tab w:val="left" w:pos="7035"/>
              </w:tabs>
              <w:jc w:val="both"/>
            </w:pPr>
            <w:r w:rsidRPr="00E75337">
              <w:t xml:space="preserve">wartość projektu(całkowity koszt projektu), </w:t>
            </w:r>
          </w:p>
          <w:p w14:paraId="6588C1A3" w14:textId="77777777" w:rsidR="00E75337" w:rsidRPr="00E75337" w:rsidRDefault="00E75337" w:rsidP="00E75337">
            <w:pPr>
              <w:numPr>
                <w:ilvl w:val="0"/>
                <w:numId w:val="11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E75337">
            <w:pPr>
              <w:numPr>
                <w:ilvl w:val="0"/>
                <w:numId w:val="116"/>
              </w:numPr>
              <w:tabs>
                <w:tab w:val="left" w:pos="7035"/>
              </w:tabs>
              <w:jc w:val="both"/>
            </w:pPr>
            <w:r w:rsidRPr="00E75337">
              <w:lastRenderedPageBreak/>
              <w:t xml:space="preserve">tytuł projektu lub jego skróconą nazwę, </w:t>
            </w:r>
          </w:p>
          <w:p w14:paraId="328E87AC" w14:textId="77777777" w:rsidR="00E75337" w:rsidRPr="00E75337" w:rsidRDefault="00E75337" w:rsidP="00E75337">
            <w:pPr>
              <w:numPr>
                <w:ilvl w:val="0"/>
                <w:numId w:val="11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E75337">
            <w:pPr>
              <w:numPr>
                <w:ilvl w:val="0"/>
                <w:numId w:val="11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E75337">
            <w:pPr>
              <w:numPr>
                <w:ilvl w:val="0"/>
                <w:numId w:val="11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E75337">
            <w:pPr>
              <w:numPr>
                <w:ilvl w:val="0"/>
                <w:numId w:val="116"/>
              </w:numPr>
              <w:tabs>
                <w:tab w:val="left" w:pos="7035"/>
              </w:tabs>
              <w:jc w:val="both"/>
            </w:pPr>
            <w:r w:rsidRPr="00E75337">
              <w:t xml:space="preserve">cel lub cele projektu, </w:t>
            </w:r>
          </w:p>
          <w:p w14:paraId="518F97FB" w14:textId="77777777" w:rsidR="00E75337" w:rsidRPr="00E75337" w:rsidRDefault="00E75337" w:rsidP="00E75337">
            <w:pPr>
              <w:numPr>
                <w:ilvl w:val="0"/>
                <w:numId w:val="11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E75337">
            <w:pPr>
              <w:numPr>
                <w:ilvl w:val="0"/>
                <w:numId w:val="116"/>
              </w:numPr>
              <w:tabs>
                <w:tab w:val="left" w:pos="7035"/>
              </w:tabs>
              <w:jc w:val="both"/>
            </w:pPr>
            <w:r w:rsidRPr="00E75337">
              <w:t>wartość projektu (całkowity  koszt projektu),</w:t>
            </w:r>
          </w:p>
          <w:p w14:paraId="31116D29" w14:textId="77777777" w:rsidR="00E75337" w:rsidRPr="00E75337" w:rsidRDefault="00E75337" w:rsidP="00E75337">
            <w:pPr>
              <w:numPr>
                <w:ilvl w:val="0"/>
                <w:numId w:val="11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 xml:space="preserve">Umieszczenie w widoczny sposób znaku Funduszy Europejskich, znaku barw Rzeczypospolitej Polskiej (jeśli dotyczy; wersja </w:t>
            </w:r>
            <w:proofErr w:type="spellStart"/>
            <w:r w:rsidRPr="00E75337">
              <w:t>pełnokolorowa</w:t>
            </w:r>
            <w:proofErr w:type="spellEnd"/>
            <w:r w:rsidRPr="00E75337">
              <w:t>) i znaku Unii Europejskiej na:</w:t>
            </w:r>
          </w:p>
          <w:p w14:paraId="1FE48530" w14:textId="77777777" w:rsidR="00E75337" w:rsidRPr="00E75337" w:rsidRDefault="00E75337" w:rsidP="00E75337">
            <w:pPr>
              <w:numPr>
                <w:ilvl w:val="0"/>
                <w:numId w:val="11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92F13">
            <w:pPr>
              <w:numPr>
                <w:ilvl w:val="0"/>
                <w:numId w:val="11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E75337">
            <w:pPr>
              <w:numPr>
                <w:ilvl w:val="0"/>
                <w:numId w:val="11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w:t>
            </w:r>
            <w:proofErr w:type="spellStart"/>
            <w:r w:rsidRPr="00E75337">
              <w:t>pełnokolorowa</w:t>
            </w:r>
            <w:proofErr w:type="spellEnd"/>
            <w:r w:rsidRPr="00E75337">
              <w:t xml:space="preserve">)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EF5D91">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77777777" w:rsidR="00760D3D" w:rsidRPr="00760D3D" w:rsidRDefault="00760D3D" w:rsidP="00760D3D">
      <w:pPr>
        <w:tabs>
          <w:tab w:val="center" w:pos="4536"/>
          <w:tab w:val="right" w:pos="9072"/>
        </w:tabs>
        <w:jc w:val="right"/>
        <w:rPr>
          <w:i/>
        </w:rPr>
      </w:pPr>
      <w:r w:rsidRPr="00760D3D">
        <w:rPr>
          <w:i/>
        </w:rPr>
        <w:t xml:space="preserve">Załącznik nr 9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760D3D">
      <w:pPr>
        <w:numPr>
          <w:ilvl w:val="0"/>
          <w:numId w:val="65"/>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760D3D">
      <w:pPr>
        <w:numPr>
          <w:ilvl w:val="0"/>
          <w:numId w:val="65"/>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760D3D">
      <w:pPr>
        <w:numPr>
          <w:ilvl w:val="0"/>
          <w:numId w:val="65"/>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760D3D">
      <w:pPr>
        <w:numPr>
          <w:ilvl w:val="0"/>
          <w:numId w:val="65"/>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Default="00351AAF" w:rsidP="00E75337">
      <w:pPr>
        <w:tabs>
          <w:tab w:val="left" w:pos="7035"/>
        </w:tabs>
        <w:jc w:val="both"/>
      </w:pPr>
    </w:p>
    <w:p w14:paraId="77129649" w14:textId="77777777" w:rsidR="0010686A" w:rsidRDefault="0010686A" w:rsidP="00E75337">
      <w:pPr>
        <w:tabs>
          <w:tab w:val="left" w:pos="7035"/>
        </w:tabs>
        <w:jc w:val="both"/>
      </w:pPr>
    </w:p>
    <w:p w14:paraId="7EBEECBB" w14:textId="77777777" w:rsidR="0010686A" w:rsidRDefault="0010686A" w:rsidP="00E75337">
      <w:pPr>
        <w:tabs>
          <w:tab w:val="left" w:pos="7035"/>
        </w:tabs>
        <w:jc w:val="both"/>
      </w:pPr>
    </w:p>
    <w:p w14:paraId="71777DB1" w14:textId="77777777" w:rsidR="0010686A" w:rsidRDefault="0010686A" w:rsidP="00E75337">
      <w:pPr>
        <w:tabs>
          <w:tab w:val="left" w:pos="7035"/>
        </w:tabs>
        <w:jc w:val="both"/>
      </w:pPr>
    </w:p>
    <w:p w14:paraId="4C9AA697" w14:textId="77777777" w:rsidR="0010686A" w:rsidRDefault="0010686A" w:rsidP="00E75337">
      <w:pPr>
        <w:tabs>
          <w:tab w:val="left" w:pos="7035"/>
        </w:tabs>
        <w:jc w:val="both"/>
      </w:pPr>
    </w:p>
    <w:p w14:paraId="73D85C70" w14:textId="77777777" w:rsidR="0010686A" w:rsidRDefault="0010686A" w:rsidP="00E75337">
      <w:pPr>
        <w:tabs>
          <w:tab w:val="left" w:pos="7035"/>
        </w:tabs>
        <w:jc w:val="both"/>
      </w:pPr>
    </w:p>
    <w:p w14:paraId="7CE06F59" w14:textId="77777777" w:rsidR="0010686A" w:rsidRDefault="0010686A" w:rsidP="00E75337">
      <w:pPr>
        <w:tabs>
          <w:tab w:val="left" w:pos="7035"/>
        </w:tabs>
        <w:jc w:val="both"/>
      </w:pPr>
    </w:p>
    <w:p w14:paraId="02CF002F" w14:textId="77777777" w:rsidR="0010686A" w:rsidRDefault="0010686A" w:rsidP="00E75337">
      <w:pPr>
        <w:tabs>
          <w:tab w:val="left" w:pos="7035"/>
        </w:tabs>
        <w:jc w:val="both"/>
      </w:pPr>
    </w:p>
    <w:p w14:paraId="3B0ADF46" w14:textId="77777777" w:rsidR="0010686A" w:rsidRDefault="0010686A" w:rsidP="00E75337">
      <w:pPr>
        <w:tabs>
          <w:tab w:val="left" w:pos="7035"/>
        </w:tabs>
        <w:jc w:val="both"/>
      </w:pPr>
    </w:p>
    <w:p w14:paraId="23DD9577" w14:textId="77777777" w:rsidR="0010686A" w:rsidRDefault="0010686A" w:rsidP="00E75337">
      <w:pPr>
        <w:tabs>
          <w:tab w:val="left" w:pos="7035"/>
        </w:tabs>
        <w:jc w:val="both"/>
      </w:pPr>
    </w:p>
    <w:p w14:paraId="201BAC41" w14:textId="77777777" w:rsidR="0010686A" w:rsidRDefault="0010686A" w:rsidP="00E75337">
      <w:pPr>
        <w:tabs>
          <w:tab w:val="left" w:pos="7035"/>
        </w:tabs>
        <w:jc w:val="both"/>
      </w:pPr>
    </w:p>
    <w:p w14:paraId="116C28B6" w14:textId="77777777" w:rsidR="0010686A" w:rsidRDefault="0010686A" w:rsidP="00E75337">
      <w:pPr>
        <w:tabs>
          <w:tab w:val="left" w:pos="7035"/>
        </w:tabs>
        <w:jc w:val="both"/>
      </w:pPr>
    </w:p>
    <w:p w14:paraId="55A8F996" w14:textId="77777777" w:rsidR="0010686A" w:rsidRDefault="0010686A" w:rsidP="00E75337">
      <w:pPr>
        <w:tabs>
          <w:tab w:val="left" w:pos="7035"/>
        </w:tabs>
        <w:jc w:val="both"/>
      </w:pPr>
    </w:p>
    <w:p w14:paraId="5F397D25" w14:textId="77777777" w:rsidR="0010686A" w:rsidRDefault="0010686A" w:rsidP="00E75337">
      <w:pPr>
        <w:tabs>
          <w:tab w:val="left" w:pos="7035"/>
        </w:tabs>
        <w:jc w:val="both"/>
      </w:pPr>
    </w:p>
    <w:p w14:paraId="537A1868" w14:textId="77777777" w:rsidR="0010686A" w:rsidRDefault="0010686A" w:rsidP="00E75337">
      <w:pPr>
        <w:tabs>
          <w:tab w:val="left" w:pos="7035"/>
        </w:tabs>
        <w:jc w:val="both"/>
      </w:pPr>
    </w:p>
    <w:p w14:paraId="45F0B159" w14:textId="77777777" w:rsidR="0010686A" w:rsidRDefault="0010686A" w:rsidP="00E75337">
      <w:pPr>
        <w:tabs>
          <w:tab w:val="left" w:pos="7035"/>
        </w:tabs>
        <w:jc w:val="both"/>
      </w:pPr>
    </w:p>
    <w:p w14:paraId="41445A00" w14:textId="77777777" w:rsidR="0010686A" w:rsidRPr="003C6AB5" w:rsidRDefault="0010686A" w:rsidP="0010686A">
      <w:pPr>
        <w:tabs>
          <w:tab w:val="center" w:pos="4536"/>
          <w:tab w:val="right" w:pos="9072"/>
        </w:tabs>
        <w:jc w:val="right"/>
        <w:rPr>
          <w:i/>
        </w:rPr>
      </w:pPr>
      <w:r w:rsidRPr="003C6AB5">
        <w:rPr>
          <w:i/>
        </w:rPr>
        <w:lastRenderedPageBreak/>
        <w:t xml:space="preserve">Załącznik nr 11 do Umowy o dofinansowanie nr ……………………….. </w:t>
      </w:r>
    </w:p>
    <w:p w14:paraId="763D9128" w14:textId="77777777" w:rsidR="0010686A" w:rsidRPr="003C6AB5" w:rsidRDefault="0010686A" w:rsidP="0010686A">
      <w:pPr>
        <w:tabs>
          <w:tab w:val="center" w:pos="4536"/>
          <w:tab w:val="right" w:pos="9072"/>
        </w:tabs>
        <w:jc w:val="right"/>
        <w:rPr>
          <w:i/>
        </w:rPr>
      </w:pPr>
      <w:r w:rsidRPr="003C6AB5">
        <w:rPr>
          <w:i/>
        </w:rPr>
        <w:t>z dnia ………………………..</w:t>
      </w:r>
    </w:p>
    <w:p w14:paraId="32F69F99" w14:textId="77777777" w:rsidR="0010686A" w:rsidRPr="003C6AB5" w:rsidRDefault="0010686A" w:rsidP="0010686A"/>
    <w:p w14:paraId="3A5571FF" w14:textId="77777777" w:rsidR="0010686A" w:rsidRPr="003C6AB5" w:rsidRDefault="0010686A" w:rsidP="0010686A">
      <w:pPr>
        <w:widowControl w:val="0"/>
        <w:suppressAutoHyphens/>
        <w:autoSpaceDE w:val="0"/>
        <w:jc w:val="center"/>
        <w:rPr>
          <w:rFonts w:eastAsia="Calibri"/>
          <w:b/>
          <w:i/>
          <w:iCs/>
          <w:color w:val="000000"/>
          <w:sz w:val="22"/>
          <w:szCs w:val="22"/>
        </w:rPr>
      </w:pPr>
      <w:r w:rsidRPr="003C6AB5">
        <w:rPr>
          <w:rFonts w:eastAsia="Calibri"/>
          <w:b/>
          <w:bCs/>
          <w:i/>
          <w:color w:val="000000"/>
          <w:sz w:val="22"/>
          <w:szCs w:val="22"/>
        </w:rPr>
        <w:t xml:space="preserve">Mechanizm monitorowania i </w:t>
      </w:r>
      <w:r w:rsidRPr="003C6AB5">
        <w:rPr>
          <w:rFonts w:eastAsia="Calibri"/>
          <w:b/>
          <w:i/>
          <w:iCs/>
          <w:color w:val="000000"/>
          <w:sz w:val="22"/>
          <w:szCs w:val="22"/>
        </w:rPr>
        <w:t xml:space="preserve">wycofania w przypadku wykorzystania infrastruktury </w:t>
      </w:r>
    </w:p>
    <w:p w14:paraId="7B030D10" w14:textId="77777777" w:rsidR="0010686A" w:rsidRPr="003C6AB5" w:rsidRDefault="0010686A" w:rsidP="0010686A">
      <w:pPr>
        <w:widowControl w:val="0"/>
        <w:suppressAutoHyphens/>
        <w:autoSpaceDE w:val="0"/>
        <w:jc w:val="center"/>
        <w:rPr>
          <w:rFonts w:eastAsia="Calibri"/>
          <w:b/>
          <w:i/>
          <w:color w:val="000000"/>
          <w:sz w:val="22"/>
          <w:szCs w:val="22"/>
        </w:rPr>
      </w:pPr>
      <w:r w:rsidRPr="003C6AB5">
        <w:rPr>
          <w:rFonts w:eastAsia="Calibri"/>
          <w:b/>
          <w:i/>
          <w:iCs/>
          <w:color w:val="000000"/>
          <w:sz w:val="22"/>
          <w:szCs w:val="22"/>
        </w:rPr>
        <w:t>na cele prowadzenia działalności gospodarczej o charakterze pomocniczym</w:t>
      </w:r>
      <w:r w:rsidRPr="003C6AB5">
        <w:rPr>
          <w:rFonts w:eastAsia="Calibri"/>
          <w:b/>
          <w:i/>
          <w:iCs/>
          <w:color w:val="000000"/>
          <w:sz w:val="22"/>
          <w:szCs w:val="22"/>
        </w:rPr>
        <w:cr/>
        <w:t xml:space="preserve"> (dotyczy instalacji OZE nieobjętej pomocą publiczną/de </w:t>
      </w:r>
      <w:proofErr w:type="spellStart"/>
      <w:r w:rsidRPr="003C6AB5">
        <w:rPr>
          <w:rFonts w:eastAsia="Calibri"/>
          <w:b/>
          <w:i/>
          <w:iCs/>
          <w:color w:val="000000"/>
          <w:sz w:val="22"/>
          <w:szCs w:val="22"/>
        </w:rPr>
        <w:t>minimis</w:t>
      </w:r>
      <w:proofErr w:type="spellEnd"/>
      <w:r w:rsidRPr="003C6AB5">
        <w:rPr>
          <w:rFonts w:eastAsia="Calibri"/>
          <w:b/>
          <w:i/>
          <w:iCs/>
          <w:color w:val="000000"/>
          <w:sz w:val="22"/>
          <w:szCs w:val="22"/>
        </w:rPr>
        <w:t xml:space="preserve"> dla naborów dedykowanych OZE lub jeśli instalacja OZE jest elementem uzupełniającym)</w:t>
      </w:r>
    </w:p>
    <w:p w14:paraId="3F191F51" w14:textId="77777777" w:rsidR="0010686A" w:rsidRPr="003C6AB5" w:rsidRDefault="0010686A" w:rsidP="0010686A">
      <w:pPr>
        <w:ind w:left="2520"/>
        <w:jc w:val="both"/>
        <w:rPr>
          <w:bCs/>
        </w:rPr>
      </w:pPr>
    </w:p>
    <w:p w14:paraId="41D32DAF" w14:textId="77777777" w:rsidR="0010686A" w:rsidRPr="003C6AB5" w:rsidRDefault="0010686A" w:rsidP="0010686A">
      <w:pPr>
        <w:numPr>
          <w:ilvl w:val="0"/>
          <w:numId w:val="158"/>
        </w:numPr>
        <w:spacing w:after="160" w:line="259" w:lineRule="auto"/>
        <w:contextualSpacing/>
        <w:jc w:val="both"/>
        <w:rPr>
          <w:bCs/>
        </w:rPr>
      </w:pPr>
      <w:r w:rsidRPr="003C6AB5">
        <w:rPr>
          <w:bCs/>
        </w:rPr>
        <w:t>Niniejszy załącznik ma zastosowanie do  projektów realizowanych ze środków Programu Fundusze Europejskie dla Podlaskiego 2021-2027, obejmujących swym zakresem instalacje wytwarzające energię elektryczną z Odnawialnych Źródeł Energii (OZE) w celach zaspokojenia potrzeb własnych, gdy instalacja będzie posiadać podłączenie do sieci energetycznej umożliwiające przesyłanie wytwarzanej energii.</w:t>
      </w:r>
    </w:p>
    <w:p w14:paraId="5D8C6272" w14:textId="77777777" w:rsidR="0010686A" w:rsidRPr="003C6AB5" w:rsidRDefault="0010686A" w:rsidP="0010686A">
      <w:pPr>
        <w:ind w:left="360"/>
        <w:contextualSpacing/>
        <w:jc w:val="both"/>
        <w:rPr>
          <w:bCs/>
        </w:rPr>
      </w:pPr>
    </w:p>
    <w:p w14:paraId="6DA9A161" w14:textId="77777777" w:rsidR="0010686A" w:rsidRPr="003C6AB5" w:rsidRDefault="0010686A" w:rsidP="0010686A">
      <w:pPr>
        <w:ind w:left="360"/>
        <w:contextualSpacing/>
        <w:jc w:val="both"/>
        <w:rPr>
          <w:bCs/>
        </w:rPr>
      </w:pPr>
      <w:r w:rsidRPr="003C6AB5">
        <w:rPr>
          <w:bCs/>
        </w:rPr>
        <w:t xml:space="preserve">Zgodnie ze stanowiskiem Komisji Europejskiej – wprowadzanie nadwyżek wytworzonej energii elektrycznej do sieci stanowi działalność gospodarczą podlegającą reżimowi przepisów o pomocy publicznej. Możliwe jest jednak uznanie tego działania za działalność pomocniczą nie podlegającą pomocy publicznej, pod warunkiem monitorowania ilości oddawanej energii do sieci energetycznej. Oznacza to obowiązek objęcia projektu mechanizmem monitorowania i wycofania. </w:t>
      </w:r>
    </w:p>
    <w:p w14:paraId="1FA0EAA5" w14:textId="77777777" w:rsidR="0010686A" w:rsidRPr="003C6AB5" w:rsidRDefault="0010686A" w:rsidP="0010686A">
      <w:pPr>
        <w:ind w:left="720"/>
        <w:contextualSpacing/>
        <w:jc w:val="both"/>
        <w:rPr>
          <w:bCs/>
          <w:sz w:val="12"/>
          <w:szCs w:val="12"/>
        </w:rPr>
      </w:pPr>
    </w:p>
    <w:p w14:paraId="7B567EB3" w14:textId="77777777" w:rsidR="0010686A" w:rsidRPr="003C6AB5" w:rsidRDefault="0010686A" w:rsidP="0010686A">
      <w:pPr>
        <w:numPr>
          <w:ilvl w:val="0"/>
          <w:numId w:val="158"/>
        </w:numPr>
        <w:spacing w:after="160" w:line="259" w:lineRule="auto"/>
        <w:contextualSpacing/>
        <w:jc w:val="both"/>
        <w:rPr>
          <w:bCs/>
        </w:rPr>
      </w:pPr>
      <w:r w:rsidRPr="003C6AB5">
        <w:rPr>
          <w:bCs/>
        </w:rPr>
        <w:t xml:space="preserve">Obowiązek zastosowania mechanizmu monitorowania i wycofania w odniesieniu do działalności prowadzonej na infrastrukturze otrzymującej finansowanie publiczne uregulowano w pkt 207 Komunikatu Komisji, </w:t>
      </w:r>
      <w:bookmarkStart w:id="19" w:name="_Hlk204943132"/>
      <w:r w:rsidRPr="003C6AB5">
        <w:rPr>
          <w:bCs/>
        </w:rPr>
        <w:t>Zawiadomienia Komisji w sprawie pojęcia pomocy państwa w rozumieniu art. 107 ust. 1 TFUE (2016/C 262/01</w:t>
      </w:r>
      <w:bookmarkEnd w:id="19"/>
      <w:r w:rsidRPr="003C6AB5">
        <w:rPr>
          <w:bCs/>
        </w:rPr>
        <w:t xml:space="preserve">). Uwzględniając zapisy pkt 207 Komunikatu Komisji, </w:t>
      </w:r>
      <w:r w:rsidRPr="003C6AB5">
        <w:rPr>
          <w:bCs/>
          <w:iCs/>
        </w:rPr>
        <w:t>Zawiadomienia Komisji w sprawie pojęcia pomocy państwa w rozumieniu art. 107 ust. 1 Traktatu o Funkcjonowaniu Unii Europejskiej</w:t>
      </w:r>
      <w:r w:rsidRPr="003C6AB5">
        <w:rPr>
          <w:bCs/>
        </w:rPr>
        <w:t xml:space="preserve">, w przypadkach infrastruktury podwójnego wykorzystania, jeżeli jest ona prawie wyłącznie wykorzystywana do celów działalności niegospodarczej, Komisja Europejska uznała, że finansowanie takiej infrastruktury może w całości wykraczać poza zakres zasad pomocy państwa, pod warunkiem, że użytkowanie do celów działalności gospodarczej ma charakter czysto pomocniczy. Działalność gospodarcza ma charakter pomocniczy o ile ma charakter „działalności bezpośrednio powiązanej z 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 wykorzystania infrastruktury całkowicie zachowa swój dodatkowy charakter, w sytuacji, gdy wydajność przydzielona co roku na taką działalność nie przekracza 20% 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 wykorzystaniem infrastruktury objętej wsparciem będzie wiązać się z koniecznością zastosowania przepisów dotyczących pomocy publicznej. </w:t>
      </w:r>
    </w:p>
    <w:p w14:paraId="40479329" w14:textId="77777777" w:rsidR="0010686A" w:rsidRPr="003C6AB5" w:rsidRDefault="0010686A" w:rsidP="0010686A">
      <w:pPr>
        <w:contextualSpacing/>
        <w:jc w:val="both"/>
        <w:rPr>
          <w:bCs/>
          <w:sz w:val="12"/>
          <w:szCs w:val="12"/>
        </w:rPr>
      </w:pPr>
    </w:p>
    <w:p w14:paraId="14E568BC" w14:textId="77777777" w:rsidR="0010686A" w:rsidRPr="003C6AB5" w:rsidRDefault="0010686A" w:rsidP="0010686A">
      <w:pPr>
        <w:numPr>
          <w:ilvl w:val="0"/>
          <w:numId w:val="158"/>
        </w:numPr>
        <w:spacing w:after="160" w:line="259" w:lineRule="auto"/>
        <w:ind w:left="357" w:hanging="357"/>
        <w:jc w:val="both"/>
      </w:pPr>
      <w:r w:rsidRPr="003C6AB5">
        <w:t xml:space="preserve">Wprowadzanie do sieci </w:t>
      </w:r>
      <w:r w:rsidRPr="003C6AB5">
        <w:rPr>
          <w:bCs/>
        </w:rPr>
        <w:t xml:space="preserve">nadwyżek wytworzonej </w:t>
      </w:r>
      <w:r w:rsidRPr="003C6AB5">
        <w:t xml:space="preserve">w instalacji OZE </w:t>
      </w:r>
      <w:r w:rsidRPr="003C6AB5">
        <w:rPr>
          <w:bCs/>
        </w:rPr>
        <w:t>energii elektrycznej</w:t>
      </w:r>
      <w:r w:rsidRPr="003C6AB5">
        <w:t xml:space="preserve"> traktowane jest jako działalność gospodarcza i powoduje konieczność zastosowania mechanizmu monitorowania i wycofania. </w:t>
      </w:r>
    </w:p>
    <w:p w14:paraId="3FEFA9CC" w14:textId="77777777" w:rsidR="0010686A" w:rsidRPr="003C6AB5" w:rsidRDefault="0010686A" w:rsidP="0010686A">
      <w:pPr>
        <w:spacing w:after="160" w:line="259" w:lineRule="auto"/>
        <w:ind w:left="720"/>
        <w:contextualSpacing/>
      </w:pPr>
    </w:p>
    <w:p w14:paraId="6851C51C" w14:textId="77777777" w:rsidR="0010686A" w:rsidRPr="003C6AB5" w:rsidRDefault="0010686A" w:rsidP="0010686A">
      <w:pPr>
        <w:ind w:left="357"/>
        <w:jc w:val="both"/>
        <w:rPr>
          <w:sz w:val="12"/>
          <w:szCs w:val="12"/>
        </w:rPr>
      </w:pPr>
      <w:r w:rsidRPr="003C6AB5">
        <w:t xml:space="preserve">Za działalność gospodarczą uznaje się więc przekazanie do sieci energii elektrycznej, która nie została w ujęciu ilościowym rozliczona z energią pobraną z sieci w skali roku. Należy porównać ilość energii zużytej na potrzeby własne (w skali roku) z ilością energii wyprodukowanej (w skali </w:t>
      </w:r>
      <w:r w:rsidRPr="003C6AB5">
        <w:lastRenderedPageBreak/>
        <w:t xml:space="preserve">roku) w kWh. Jako energię zużytą na potrzeby własne należy rozumieć bieżącą </w:t>
      </w:r>
      <w:proofErr w:type="spellStart"/>
      <w:r w:rsidRPr="003C6AB5">
        <w:t>autokonsumpcję</w:t>
      </w:r>
      <w:proofErr w:type="spellEnd"/>
      <w:r w:rsidRPr="003C6AB5">
        <w:t xml:space="preserve"> oraz energię zakupioną z sieci.</w:t>
      </w:r>
    </w:p>
    <w:p w14:paraId="2403A062" w14:textId="77777777" w:rsidR="0010686A" w:rsidRPr="003C6AB5" w:rsidRDefault="0010686A" w:rsidP="0010686A">
      <w:pPr>
        <w:ind w:left="360"/>
        <w:contextualSpacing/>
        <w:jc w:val="both"/>
        <w:rPr>
          <w:bCs/>
          <w:sz w:val="12"/>
          <w:szCs w:val="12"/>
        </w:rPr>
      </w:pPr>
    </w:p>
    <w:p w14:paraId="3A2CA7F1" w14:textId="77777777" w:rsidR="0010686A" w:rsidRPr="003C6AB5" w:rsidRDefault="0010686A" w:rsidP="0010686A">
      <w:pPr>
        <w:numPr>
          <w:ilvl w:val="0"/>
          <w:numId w:val="158"/>
        </w:numPr>
        <w:spacing w:after="160" w:line="259" w:lineRule="auto"/>
        <w:contextualSpacing/>
        <w:jc w:val="both"/>
      </w:pPr>
      <w:r w:rsidRPr="003C6AB5">
        <w:t>Okres stosowania mechanizmu monitorowania i wycofania przewidzianego niniejszym Załącznikiem określany jest oddzielnie dla każdego składnika infrastruktury i jest równy okresowi jego amortyzacji, wskazanemu zgodnie z przepisami o rachunkowości, tj.:</w:t>
      </w:r>
    </w:p>
    <w:p w14:paraId="5E33A84F" w14:textId="77777777" w:rsidR="0010686A" w:rsidRPr="003C6AB5" w:rsidRDefault="0010686A" w:rsidP="0010686A">
      <w:pPr>
        <w:numPr>
          <w:ilvl w:val="0"/>
          <w:numId w:val="48"/>
        </w:numPr>
        <w:spacing w:after="160" w:line="259" w:lineRule="auto"/>
        <w:contextualSpacing/>
        <w:jc w:val="both"/>
      </w:pPr>
      <w:r w:rsidRPr="003C6AB5">
        <w:t>[oznaczenie elementu w danej lokalizacji ] – [długość okresu amortyzacji w latach];</w:t>
      </w:r>
    </w:p>
    <w:p w14:paraId="7ECCBDC8" w14:textId="77777777" w:rsidR="0010686A" w:rsidRPr="003C6AB5" w:rsidRDefault="0010686A" w:rsidP="0010686A">
      <w:pPr>
        <w:numPr>
          <w:ilvl w:val="0"/>
          <w:numId w:val="48"/>
        </w:numPr>
        <w:spacing w:after="160" w:line="259" w:lineRule="auto"/>
        <w:contextualSpacing/>
        <w:jc w:val="both"/>
      </w:pPr>
      <w:r w:rsidRPr="003C6AB5">
        <w:t>[oznaczenie elementu w danej lokalizacji ] – [długość okresu amortyzacji w latach].</w:t>
      </w:r>
    </w:p>
    <w:p w14:paraId="0F998EC1" w14:textId="77777777" w:rsidR="0010686A" w:rsidRPr="003C6AB5" w:rsidRDefault="0010686A" w:rsidP="0010686A">
      <w:pPr>
        <w:contextualSpacing/>
        <w:jc w:val="both"/>
      </w:pPr>
    </w:p>
    <w:p w14:paraId="11064793" w14:textId="77777777" w:rsidR="0010686A" w:rsidRPr="003C6AB5" w:rsidRDefault="0010686A" w:rsidP="0010686A">
      <w:pPr>
        <w:ind w:left="426"/>
        <w:contextualSpacing/>
        <w:jc w:val="both"/>
      </w:pPr>
      <w:r w:rsidRPr="003C6AB5">
        <w:t>Okres stosowania mechanizmu monitorowania i wycofania dla danego składnika infrastruktury rozpoczyna się z dniem przyjęcia go do użytkowania jako środka trwałego.</w:t>
      </w:r>
    </w:p>
    <w:p w14:paraId="38F4947D" w14:textId="77777777" w:rsidR="0010686A" w:rsidRPr="003C6AB5" w:rsidRDefault="0010686A" w:rsidP="0010686A">
      <w:pPr>
        <w:ind w:left="426"/>
        <w:contextualSpacing/>
        <w:jc w:val="both"/>
      </w:pPr>
    </w:p>
    <w:p w14:paraId="19F16132" w14:textId="77777777" w:rsidR="0010686A" w:rsidRPr="003C6AB5" w:rsidRDefault="0010686A" w:rsidP="0010686A">
      <w:pPr>
        <w:numPr>
          <w:ilvl w:val="0"/>
          <w:numId w:val="158"/>
        </w:numPr>
        <w:spacing w:after="160" w:line="259" w:lineRule="auto"/>
        <w:contextualSpacing/>
        <w:jc w:val="both"/>
      </w:pPr>
      <w:r w:rsidRPr="003C6AB5">
        <w:t xml:space="preserve">Beneficjent oświadcza, że moc urządzeń została dostosowana do rzeczywistych potrzeb własnych, a prognozowana ilość energii wyprodukowanej z instalacji OZE nie jest wyższa niż roczne zużycie energii w budynku, na potrzeby którego będzie przeznaczona. </w:t>
      </w:r>
    </w:p>
    <w:p w14:paraId="5C2A7036" w14:textId="77777777" w:rsidR="0010686A" w:rsidRPr="003C6AB5" w:rsidRDefault="0010686A" w:rsidP="0010686A">
      <w:pPr>
        <w:numPr>
          <w:ilvl w:val="0"/>
          <w:numId w:val="158"/>
        </w:numPr>
        <w:spacing w:after="160" w:line="259" w:lineRule="auto"/>
        <w:contextualSpacing/>
        <w:jc w:val="both"/>
      </w:pPr>
      <w:r w:rsidRPr="003C6AB5">
        <w:t xml:space="preserve">Beneficjent oświadcza, że infrastruktura objęta mechanizmem monitorowania i wycofania będzie wykorzystywana do prowadzenia działalności gospodarczej nie więcej niż w 20% w skali roku. Powyższe oznacza, że w skali roku nie więcej niż 20% energii wyprodukowanej i niezużytej na potrzeby własne zostanie wprowadzona do sieci. </w:t>
      </w:r>
    </w:p>
    <w:p w14:paraId="631FB888" w14:textId="77777777" w:rsidR="0010686A" w:rsidRPr="003C6AB5" w:rsidRDefault="0010686A" w:rsidP="0010686A">
      <w:pPr>
        <w:numPr>
          <w:ilvl w:val="0"/>
          <w:numId w:val="158"/>
        </w:numPr>
        <w:spacing w:after="160" w:line="259" w:lineRule="auto"/>
        <w:contextualSpacing/>
        <w:jc w:val="both"/>
        <w:rPr>
          <w:bCs/>
          <w:sz w:val="12"/>
          <w:szCs w:val="12"/>
        </w:rPr>
      </w:pPr>
      <w:r w:rsidRPr="003C6AB5">
        <w:t>Monitorowanie wykorzystania infrastruktury odbywa się w cyklach rocznych, przy czym możliwe jest określenie innego okresu sprawozdawczego niż rok kalendarzowy jeżeli inny okres wynika z umowy zawartej przez Beneficjenta  z operatorem sieci dystrybucyjnej. Termin ten wyznacza się w pkt 16 niniejszego Załącznika. Jeżeli rozpoczęcie lub zakończenie okresu stosowania mechanizmu monitorowania i wycofania przypada w trakcie roku sprawozdawczego, dany cykl sprawozdawczy obejmuje niepełny rok.</w:t>
      </w:r>
    </w:p>
    <w:p w14:paraId="52F72F58" w14:textId="77777777" w:rsidR="0010686A" w:rsidRPr="003C6AB5" w:rsidRDefault="0010686A" w:rsidP="0010686A">
      <w:pPr>
        <w:numPr>
          <w:ilvl w:val="0"/>
          <w:numId w:val="158"/>
        </w:numPr>
        <w:spacing w:after="160" w:line="259" w:lineRule="auto"/>
        <w:contextualSpacing/>
        <w:jc w:val="both"/>
      </w:pPr>
      <w:r w:rsidRPr="003C6AB5">
        <w:t xml:space="preserve">Beneficjent jest zobowiązany do składania do IZ rocznych sprawozdań o zakresie działalności gospodarczej prowadzonej na infrastrukturze będącej przedmiotem Projektu. Roczne sprawozdania, o których mowa powyżej przyjmują formę ankiet trwałości (jako ich element)  przekazywanych za pośrednictwem systemu ankietowania.  </w:t>
      </w:r>
    </w:p>
    <w:p w14:paraId="6FE0190F" w14:textId="77777777" w:rsidR="0010686A" w:rsidRPr="003C6AB5" w:rsidRDefault="0010686A" w:rsidP="0010686A">
      <w:pPr>
        <w:numPr>
          <w:ilvl w:val="0"/>
          <w:numId w:val="158"/>
        </w:numPr>
        <w:spacing w:after="160" w:line="259" w:lineRule="auto"/>
        <w:contextualSpacing/>
        <w:jc w:val="both"/>
      </w:pPr>
      <w:r w:rsidRPr="003C6AB5">
        <w:t>Sprawozdanie zawiera w szczególności dane dotyczące:</w:t>
      </w:r>
    </w:p>
    <w:p w14:paraId="032E4957" w14:textId="77777777" w:rsidR="0010686A" w:rsidRPr="003C6AB5" w:rsidRDefault="0010686A" w:rsidP="0010686A">
      <w:pPr>
        <w:ind w:left="360"/>
        <w:contextualSpacing/>
        <w:jc w:val="both"/>
      </w:pPr>
    </w:p>
    <w:p w14:paraId="21C04FDF" w14:textId="77777777" w:rsidR="0010686A" w:rsidRPr="003C6AB5" w:rsidRDefault="0010686A" w:rsidP="0010686A">
      <w:pPr>
        <w:spacing w:after="160" w:line="259" w:lineRule="auto"/>
        <w:rPr>
          <w:rFonts w:eastAsia="Calibri"/>
          <w:b/>
          <w:bCs/>
          <w:kern w:val="2"/>
          <w:lang w:eastAsia="en-US"/>
          <w14:ligatures w14:val="standardContextual"/>
        </w:rPr>
      </w:pPr>
      <w:r w:rsidRPr="003C6AB5">
        <w:rPr>
          <w:rFonts w:ascii="Calibri" w:eastAsia="Calibri" w:hAnsi="Calibri"/>
          <w:b/>
          <w:bCs/>
          <w:kern w:val="2"/>
          <w:sz w:val="22"/>
          <w:szCs w:val="22"/>
          <w:lang w:eastAsia="en-US"/>
          <w14:ligatures w14:val="standardContextual"/>
        </w:rPr>
        <w:t xml:space="preserve">- </w:t>
      </w:r>
      <w:r w:rsidRPr="003C6AB5">
        <w:rPr>
          <w:rFonts w:eastAsia="Calibri"/>
          <w:b/>
          <w:bCs/>
          <w:kern w:val="2"/>
          <w:lang w:eastAsia="en-US"/>
          <w14:ligatures w14:val="standardContextual"/>
        </w:rPr>
        <w:t>ilości energii wyprodukowanej w PV w kWh</w:t>
      </w:r>
    </w:p>
    <w:p w14:paraId="69C4D981" w14:textId="77777777" w:rsidR="0010686A" w:rsidRPr="003C6AB5" w:rsidRDefault="0010686A" w:rsidP="0010686A">
      <w:pPr>
        <w:spacing w:after="160" w:line="259" w:lineRule="auto"/>
        <w:rPr>
          <w:rFonts w:eastAsia="Calibri"/>
          <w:b/>
          <w:bCs/>
          <w:kern w:val="2"/>
          <w:lang w:eastAsia="en-US"/>
          <w14:ligatures w14:val="standardContextual"/>
        </w:rPr>
      </w:pPr>
      <w:r w:rsidRPr="003C6AB5">
        <w:rPr>
          <w:rFonts w:eastAsia="Calibri"/>
          <w:b/>
          <w:bCs/>
          <w:kern w:val="2"/>
          <w:lang w:eastAsia="en-US"/>
          <w14:ligatures w14:val="standardContextual"/>
        </w:rPr>
        <w:t>- ilości energii pobranej z sieci w kWh</w:t>
      </w:r>
    </w:p>
    <w:p w14:paraId="3FD9233F" w14:textId="77777777" w:rsidR="0010686A" w:rsidRPr="003C6AB5" w:rsidRDefault="0010686A" w:rsidP="0010686A">
      <w:pPr>
        <w:spacing w:after="160" w:line="259" w:lineRule="auto"/>
        <w:rPr>
          <w:rFonts w:eastAsia="Calibri"/>
          <w:b/>
          <w:bCs/>
          <w:kern w:val="2"/>
          <w:lang w:eastAsia="en-US"/>
          <w14:ligatures w14:val="standardContextual"/>
        </w:rPr>
      </w:pPr>
      <w:r w:rsidRPr="003C6AB5">
        <w:rPr>
          <w:rFonts w:eastAsia="Calibri"/>
          <w:b/>
          <w:bCs/>
          <w:kern w:val="2"/>
          <w:lang w:eastAsia="en-US"/>
          <w14:ligatures w14:val="standardContextual"/>
        </w:rPr>
        <w:t>- ilości energii wprowadzonej do sieci w kWh</w:t>
      </w:r>
    </w:p>
    <w:p w14:paraId="082A0B9F" w14:textId="77777777" w:rsidR="0010686A" w:rsidRPr="003C6AB5" w:rsidRDefault="0010686A" w:rsidP="0010686A">
      <w:pPr>
        <w:spacing w:after="160" w:line="259" w:lineRule="auto"/>
      </w:pPr>
      <w:r w:rsidRPr="003C6AB5">
        <w:rPr>
          <w:rFonts w:eastAsia="Calibri"/>
          <w:kern w:val="2"/>
          <w:lang w:eastAsia="en-US"/>
          <w14:ligatures w14:val="standardContextual"/>
        </w:rPr>
        <w:t xml:space="preserve">Jeżeli ilość energii wprowadzonej do sieci jest większa od ilości energii pobranej z sieci należy podać % wykorzystania infrastruktury na cele działalności gospodarczej. </w:t>
      </w:r>
    </w:p>
    <w:p w14:paraId="500C7D2C" w14:textId="77777777" w:rsidR="0010686A" w:rsidRPr="003C6AB5" w:rsidRDefault="0010686A" w:rsidP="0010686A">
      <w:pPr>
        <w:ind w:left="644"/>
        <w:contextualSpacing/>
        <w:jc w:val="both"/>
      </w:pPr>
    </w:p>
    <w:p w14:paraId="0A2AD37C" w14:textId="77777777" w:rsidR="0010686A" w:rsidRPr="003C6AB5" w:rsidRDefault="0010686A" w:rsidP="0010686A">
      <w:pPr>
        <w:contextualSpacing/>
        <w:jc w:val="both"/>
      </w:pPr>
      <w:r w:rsidRPr="003C6AB5">
        <w:t>IZ może żądać dostarczenia dokumentów potwierdzających dane, o których mowa powyżej, np. raporty z systemów zintegrowanych z instalacją OZE, rozliczenia z dostawcą energii itp.</w:t>
      </w:r>
    </w:p>
    <w:p w14:paraId="27FFEF00" w14:textId="77777777" w:rsidR="0010686A" w:rsidRPr="003C6AB5" w:rsidRDefault="0010686A" w:rsidP="0010686A">
      <w:pPr>
        <w:ind w:left="644"/>
        <w:contextualSpacing/>
        <w:jc w:val="both"/>
        <w:rPr>
          <w:bCs/>
          <w:sz w:val="12"/>
          <w:szCs w:val="12"/>
        </w:rPr>
      </w:pPr>
    </w:p>
    <w:p w14:paraId="20809A42" w14:textId="77777777" w:rsidR="0010686A" w:rsidRPr="003C6AB5" w:rsidRDefault="0010686A" w:rsidP="0010686A">
      <w:pPr>
        <w:ind w:left="644"/>
        <w:contextualSpacing/>
        <w:jc w:val="both"/>
        <w:rPr>
          <w:bCs/>
          <w:sz w:val="12"/>
          <w:szCs w:val="12"/>
        </w:rPr>
      </w:pPr>
    </w:p>
    <w:p w14:paraId="00AAA5DB" w14:textId="77777777" w:rsidR="0010686A" w:rsidRPr="003C6AB5" w:rsidRDefault="0010686A" w:rsidP="0010686A">
      <w:pPr>
        <w:ind w:left="644"/>
        <w:contextualSpacing/>
        <w:jc w:val="both"/>
        <w:rPr>
          <w:bCs/>
          <w:sz w:val="12"/>
          <w:szCs w:val="12"/>
        </w:rPr>
      </w:pPr>
    </w:p>
    <w:p w14:paraId="2DA967CD" w14:textId="77777777" w:rsidR="0010686A" w:rsidRPr="003C6AB5" w:rsidRDefault="0010686A" w:rsidP="0010686A">
      <w:pPr>
        <w:numPr>
          <w:ilvl w:val="0"/>
          <w:numId w:val="158"/>
        </w:numPr>
        <w:spacing w:after="160" w:line="259" w:lineRule="auto"/>
        <w:contextualSpacing/>
        <w:jc w:val="both"/>
        <w:rPr>
          <w:bCs/>
        </w:rPr>
      </w:pPr>
      <w:r w:rsidRPr="003C6AB5">
        <w:rPr>
          <w:bCs/>
        </w:rPr>
        <w:t xml:space="preserve">W przypadku, gdy w którymkolwiek roku objętym mechanizmem monitorowania i wycofania poziom zaangażowania infrastruktury do prowadzenia działalności gospodarczej przekroczy pułap 20%, Beneficjent będzie zobowiązany do zwrotu części dofinansowania uzyskanego na niegospodarczą część Projektu, wyliczonej według wzoru: </w:t>
      </w:r>
    </w:p>
    <w:p w14:paraId="56FFE183" w14:textId="77777777" w:rsidR="0010686A" w:rsidRPr="003C6AB5" w:rsidRDefault="0010686A" w:rsidP="0010686A">
      <w:pPr>
        <w:spacing w:after="160" w:line="259" w:lineRule="auto"/>
        <w:ind w:left="360"/>
        <w:contextualSpacing/>
        <w:rPr>
          <w:rFonts w:eastAsia="Calibri"/>
          <w:b/>
          <w:bCs/>
          <w:kern w:val="2"/>
          <w:sz w:val="32"/>
          <w:szCs w:val="32"/>
          <w:lang w:eastAsia="en-US"/>
          <w14:ligatures w14:val="standardContextual"/>
        </w:rPr>
      </w:pPr>
    </w:p>
    <w:p w14:paraId="317B5338" w14:textId="77777777" w:rsidR="0010686A" w:rsidRPr="003C6AB5" w:rsidRDefault="0010686A" w:rsidP="0010686A">
      <w:pPr>
        <w:spacing w:after="160" w:line="259" w:lineRule="auto"/>
        <w:ind w:left="360"/>
        <w:contextualSpacing/>
        <w:rPr>
          <w:rFonts w:eastAsia="Calibri"/>
          <w:b/>
          <w:bCs/>
          <w:kern w:val="2"/>
          <w:sz w:val="32"/>
          <w:szCs w:val="32"/>
          <w:lang w:eastAsia="en-US"/>
          <w14:ligatures w14:val="standardContextual"/>
        </w:rPr>
      </w:pPr>
      <w:r w:rsidRPr="003C6AB5">
        <w:rPr>
          <w:rFonts w:eastAsia="Calibri"/>
          <w:b/>
          <w:bCs/>
          <w:kern w:val="2"/>
          <w:sz w:val="32"/>
          <w:szCs w:val="32"/>
          <w:lang w:eastAsia="en-US"/>
          <w14:ligatures w14:val="standardContextual"/>
        </w:rPr>
        <w:t xml:space="preserve">Z = </w:t>
      </w:r>
      <m:oMath>
        <m:f>
          <m:fPr>
            <m:ctrlPr>
              <w:rPr>
                <w:rFonts w:ascii="Cambria Math" w:eastAsia="Calibri" w:hAnsi="Cambria Math"/>
                <w:b/>
                <w:kern w:val="2"/>
                <w:sz w:val="32"/>
                <w:szCs w:val="32"/>
                <w:lang w:eastAsia="en-US"/>
                <w14:ligatures w14:val="standardContextual"/>
              </w:rPr>
            </m:ctrlPr>
          </m:fPr>
          <m:num>
            <m:r>
              <m:rPr>
                <m:sty m:val="b"/>
              </m:rPr>
              <w:rPr>
                <w:rFonts w:ascii="Cambria Math" w:eastAsia="Calibri" w:hAnsi="Cambria Math"/>
                <w:kern w:val="2"/>
                <w:sz w:val="32"/>
                <w:szCs w:val="32"/>
                <w:lang w:eastAsia="en-US"/>
                <w14:ligatures w14:val="standardContextual"/>
              </w:rPr>
              <m:t>SŚP</m:t>
            </m:r>
          </m:num>
          <m:den>
            <m:r>
              <m:rPr>
                <m:sty m:val="b"/>
              </m:rPr>
              <w:rPr>
                <w:rFonts w:ascii="Cambria Math" w:eastAsia="Calibri" w:hAnsi="Cambria Math"/>
                <w:kern w:val="2"/>
                <w:sz w:val="32"/>
                <w:szCs w:val="32"/>
                <w:lang w:eastAsia="en-US"/>
                <w14:ligatures w14:val="standardContextual"/>
              </w:rPr>
              <m:t>OA</m:t>
            </m:r>
          </m:den>
        </m:f>
      </m:oMath>
      <w:r w:rsidRPr="003C6AB5">
        <w:rPr>
          <w:rFonts w:eastAsia="Calibri"/>
          <w:b/>
          <w:bCs/>
          <w:kern w:val="2"/>
          <w:sz w:val="32"/>
          <w:szCs w:val="32"/>
          <w:lang w:eastAsia="en-US"/>
          <w14:ligatures w14:val="standardContextual"/>
        </w:rPr>
        <w:t xml:space="preserve"> - (</w:t>
      </w:r>
      <w:r w:rsidRPr="003C6AB5">
        <w:rPr>
          <w:rFonts w:eastAsia="Calibri"/>
          <w:b/>
          <w:bCs/>
          <w:kern w:val="2"/>
          <w:sz w:val="32"/>
          <w:szCs w:val="32"/>
          <w:vertAlign w:val="subscript"/>
          <w:lang w:eastAsia="en-US"/>
          <w14:ligatures w14:val="standardContextual"/>
        </w:rPr>
        <w:t xml:space="preserve"> </w:t>
      </w:r>
      <m:oMath>
        <m:f>
          <m:fPr>
            <m:ctrlPr>
              <w:rPr>
                <w:rFonts w:ascii="Cambria Math" w:eastAsia="Calibri" w:hAnsi="Cambria Math"/>
                <w:b/>
                <w:kern w:val="2"/>
                <w:sz w:val="32"/>
                <w:szCs w:val="32"/>
                <w:lang w:eastAsia="en-US"/>
                <w14:ligatures w14:val="standardContextual"/>
              </w:rPr>
            </m:ctrlPr>
          </m:fPr>
          <m:num>
            <m:r>
              <m:rPr>
                <m:sty m:val="b"/>
              </m:rPr>
              <w:rPr>
                <w:rFonts w:ascii="Cambria Math" w:eastAsia="Calibri" w:hAnsi="Cambria Math"/>
                <w:kern w:val="2"/>
                <w:sz w:val="32"/>
                <w:szCs w:val="32"/>
                <w:lang w:eastAsia="en-US"/>
                <w14:ligatures w14:val="standardContextual"/>
              </w:rPr>
              <m:t>KK</m:t>
            </m:r>
          </m:num>
          <m:den>
            <m:r>
              <m:rPr>
                <m:sty m:val="b"/>
              </m:rPr>
              <w:rPr>
                <w:rFonts w:ascii="Cambria Math" w:eastAsia="Calibri" w:hAnsi="Cambria Math"/>
                <w:kern w:val="2"/>
                <w:sz w:val="32"/>
                <w:szCs w:val="32"/>
                <w:lang w:eastAsia="en-US"/>
                <w14:ligatures w14:val="standardContextual"/>
              </w:rPr>
              <m:t>OA</m:t>
            </m:r>
          </m:den>
        </m:f>
        <m:r>
          <m:rPr>
            <m:sty m:val="bi"/>
          </m:rPr>
          <w:rPr>
            <w:rFonts w:ascii="Cambria Math" w:eastAsia="Calibri" w:hAnsi="Cambria Math"/>
            <w:kern w:val="2"/>
            <w:sz w:val="32"/>
            <w:szCs w:val="32"/>
            <w:lang w:eastAsia="en-US"/>
            <w14:ligatures w14:val="standardContextual"/>
          </w:rPr>
          <m:t xml:space="preserve"> </m:t>
        </m:r>
      </m:oMath>
      <w:r w:rsidRPr="003C6AB5">
        <w:rPr>
          <w:b/>
          <w:kern w:val="2"/>
          <w:sz w:val="32"/>
          <w:szCs w:val="32"/>
          <w:lang w:eastAsia="en-US"/>
          <w14:ligatures w14:val="standardContextual"/>
        </w:rPr>
        <w:t>x DNG x</w:t>
      </w:r>
      <w:r w:rsidRPr="003C6AB5">
        <w:rPr>
          <w:rFonts w:eastAsia="Calibri"/>
          <w:b/>
          <w:bCs/>
          <w:kern w:val="2"/>
          <w:sz w:val="32"/>
          <w:szCs w:val="32"/>
          <w:lang w:eastAsia="en-US"/>
          <w14:ligatures w14:val="standardContextual"/>
        </w:rPr>
        <w:t xml:space="preserve"> </w:t>
      </w:r>
      <w:proofErr w:type="spellStart"/>
      <w:r w:rsidRPr="003C6AB5">
        <w:rPr>
          <w:rFonts w:eastAsia="Calibri"/>
          <w:b/>
          <w:bCs/>
          <w:kern w:val="2"/>
          <w:sz w:val="32"/>
          <w:szCs w:val="32"/>
          <w:lang w:eastAsia="en-US"/>
          <w14:ligatures w14:val="standardContextual"/>
        </w:rPr>
        <w:t>I</w:t>
      </w:r>
      <w:r w:rsidRPr="003C6AB5">
        <w:rPr>
          <w:rFonts w:eastAsia="Calibri"/>
          <w:b/>
          <w:bCs/>
          <w:kern w:val="2"/>
          <w:sz w:val="32"/>
          <w:szCs w:val="32"/>
          <w:vertAlign w:val="subscript"/>
          <w:lang w:eastAsia="en-US"/>
          <w14:ligatures w14:val="standardContextual"/>
        </w:rPr>
        <w:t>dng</w:t>
      </w:r>
      <w:proofErr w:type="spellEnd"/>
      <w:r w:rsidRPr="003C6AB5">
        <w:rPr>
          <w:rFonts w:eastAsia="Calibri"/>
          <w:b/>
          <w:bCs/>
          <w:kern w:val="2"/>
          <w:sz w:val="32"/>
          <w:szCs w:val="32"/>
          <w:lang w:eastAsia="en-US"/>
          <w14:ligatures w14:val="standardContextual"/>
        </w:rPr>
        <w:t>)</w:t>
      </w:r>
    </w:p>
    <w:p w14:paraId="6334476F" w14:textId="77777777" w:rsidR="0010686A" w:rsidRPr="003C6AB5" w:rsidRDefault="0010686A" w:rsidP="0010686A">
      <w:pPr>
        <w:jc w:val="both"/>
        <w:rPr>
          <w:bCs/>
          <w:u w:val="single"/>
        </w:rPr>
      </w:pPr>
      <w:r w:rsidRPr="003C6AB5">
        <w:rPr>
          <w:bCs/>
          <w:u w:val="single"/>
        </w:rPr>
        <w:lastRenderedPageBreak/>
        <w:t>gdzie:</w:t>
      </w:r>
    </w:p>
    <w:p w14:paraId="67A56116" w14:textId="77777777" w:rsidR="0010686A" w:rsidRPr="003C6AB5" w:rsidRDefault="0010686A" w:rsidP="0010686A">
      <w:pPr>
        <w:rPr>
          <w:bCs/>
        </w:rPr>
      </w:pPr>
      <w:r w:rsidRPr="003C6AB5">
        <w:rPr>
          <w:b/>
          <w:bCs/>
        </w:rPr>
        <w:t>Z</w:t>
      </w:r>
      <w:r w:rsidRPr="003C6AB5">
        <w:rPr>
          <w:bCs/>
        </w:rPr>
        <w:t xml:space="preserve"> – kwota podlegająca zwrotowi;</w:t>
      </w:r>
    </w:p>
    <w:p w14:paraId="4E8A7B2F" w14:textId="77777777" w:rsidR="0010686A" w:rsidRPr="003C6AB5" w:rsidRDefault="0010686A" w:rsidP="0010686A">
      <w:pPr>
        <w:rPr>
          <w:bCs/>
        </w:rPr>
      </w:pPr>
      <w:r w:rsidRPr="003C6AB5">
        <w:rPr>
          <w:b/>
          <w:bCs/>
        </w:rPr>
        <w:t>SŚP</w:t>
      </w:r>
      <w:r w:rsidRPr="003C6AB5">
        <w:rPr>
          <w:bCs/>
        </w:rPr>
        <w:t xml:space="preserve"> – suma środków publicznych udzielonych na inwestycję w zakresie infrastruktury;</w:t>
      </w:r>
    </w:p>
    <w:p w14:paraId="31A48D05" w14:textId="77777777" w:rsidR="0010686A" w:rsidRPr="003C6AB5" w:rsidRDefault="0010686A" w:rsidP="0010686A">
      <w:pPr>
        <w:rPr>
          <w:bCs/>
        </w:rPr>
      </w:pPr>
      <w:r w:rsidRPr="003C6AB5">
        <w:rPr>
          <w:b/>
          <w:bCs/>
        </w:rPr>
        <w:t>OA</w:t>
      </w:r>
      <w:r w:rsidRPr="003C6AB5">
        <w:rPr>
          <w:bCs/>
        </w:rPr>
        <w:t xml:space="preserve"> – okres amortyzacji danego składnika infrastruktury;</w:t>
      </w:r>
    </w:p>
    <w:p w14:paraId="10C2D595" w14:textId="77777777" w:rsidR="0010686A" w:rsidRPr="003C6AB5" w:rsidRDefault="0010686A" w:rsidP="0010686A">
      <w:pPr>
        <w:rPr>
          <w:bCs/>
        </w:rPr>
      </w:pPr>
      <w:r w:rsidRPr="003C6AB5">
        <w:rPr>
          <w:b/>
          <w:bCs/>
        </w:rPr>
        <w:t xml:space="preserve">DNG </w:t>
      </w:r>
      <w:r w:rsidRPr="003C6AB5">
        <w:rPr>
          <w:bCs/>
        </w:rPr>
        <w:t>– procentowy udział działalności niegospodarczej w wykorzystaniu rocznych zasobów infrastruktury w danym roku sprawozdawczym;</w:t>
      </w:r>
    </w:p>
    <w:p w14:paraId="1D8863A9" w14:textId="77777777" w:rsidR="0010686A" w:rsidRPr="003C6AB5" w:rsidRDefault="0010686A" w:rsidP="0010686A">
      <w:pPr>
        <w:rPr>
          <w:bCs/>
        </w:rPr>
      </w:pPr>
      <w:proofErr w:type="spellStart"/>
      <w:r w:rsidRPr="003C6AB5">
        <w:rPr>
          <w:b/>
          <w:bCs/>
        </w:rPr>
        <w:t>I</w:t>
      </w:r>
      <w:r w:rsidRPr="003C6AB5">
        <w:rPr>
          <w:b/>
          <w:bCs/>
          <w:vertAlign w:val="subscript"/>
        </w:rPr>
        <w:t>dng</w:t>
      </w:r>
      <w:proofErr w:type="spellEnd"/>
      <w:r w:rsidRPr="003C6AB5">
        <w:rPr>
          <w:bCs/>
        </w:rPr>
        <w:t xml:space="preserve"> – wyrażona w % intensywność dofinansowania infrastruktury ze środków publicznych w zakresie działalności niebędącej działalnością gospodarczą (dofinansowanie niestanowiące pomocy publicznej);</w:t>
      </w:r>
    </w:p>
    <w:p w14:paraId="14641C85" w14:textId="77777777" w:rsidR="0010686A" w:rsidRPr="003C6AB5" w:rsidRDefault="0010686A" w:rsidP="0010686A">
      <w:pPr>
        <w:rPr>
          <w:bCs/>
        </w:rPr>
      </w:pPr>
      <w:r w:rsidRPr="003C6AB5">
        <w:rPr>
          <w:b/>
          <w:bCs/>
        </w:rPr>
        <w:t>KK</w:t>
      </w:r>
      <w:r w:rsidRPr="003C6AB5">
        <w:rPr>
          <w:bCs/>
        </w:rPr>
        <w:t xml:space="preserve"> – całkowite koszty kwalifikowalne dla całości dofinansowania publicznego (tj. dla sumy dofinansowania w zakresie działalności gospodarczej i niegospodarczej, stanowiącego pomoc publiczną, jak i niestanowiącego pomocy publicznej) infrastruktury.</w:t>
      </w:r>
    </w:p>
    <w:p w14:paraId="5FA6D0CA" w14:textId="77777777" w:rsidR="0010686A" w:rsidRPr="003C6AB5" w:rsidRDefault="0010686A" w:rsidP="0010686A">
      <w:pPr>
        <w:ind w:left="360"/>
        <w:contextualSpacing/>
        <w:jc w:val="both"/>
        <w:rPr>
          <w:bCs/>
        </w:rPr>
      </w:pPr>
    </w:p>
    <w:p w14:paraId="1DA4B13F" w14:textId="77777777" w:rsidR="0010686A" w:rsidRPr="003C6AB5" w:rsidRDefault="0010686A" w:rsidP="0010686A">
      <w:pPr>
        <w:spacing w:after="139" w:line="259" w:lineRule="auto"/>
        <w:rPr>
          <w:rFonts w:eastAsia="Calibri"/>
          <w:kern w:val="2"/>
          <w:lang w:eastAsia="en-US"/>
          <w14:ligatures w14:val="standardContextual"/>
        </w:rPr>
      </w:pPr>
      <w:r w:rsidRPr="003C6AB5">
        <w:rPr>
          <w:rFonts w:eastAsia="Calibri"/>
          <w:kern w:val="2"/>
          <w:lang w:eastAsia="en-US"/>
          <w14:ligatures w14:val="standardContextual"/>
        </w:rPr>
        <w:t>Przykład:</w:t>
      </w:r>
    </w:p>
    <w:p w14:paraId="52308BE3" w14:textId="77777777" w:rsidR="0010686A" w:rsidRPr="003C6AB5" w:rsidRDefault="0010686A" w:rsidP="0010686A">
      <w:pPr>
        <w:spacing w:after="160" w:line="259" w:lineRule="auto"/>
        <w:jc w:val="both"/>
        <w:rPr>
          <w:rFonts w:eastAsia="Calibri"/>
          <w:kern w:val="2"/>
          <w:lang w:eastAsia="en-US"/>
          <w14:ligatures w14:val="standardContextual"/>
        </w:rPr>
      </w:pPr>
      <w:r w:rsidRPr="003C6AB5">
        <w:rPr>
          <w:rFonts w:eastAsia="Calibri"/>
          <w:kern w:val="2"/>
          <w:lang w:eastAsia="en-US"/>
          <w14:ligatures w14:val="standardContextual"/>
        </w:rPr>
        <w:t>Beneficjent  otrzymał dofinasowanie niestanowiące pomocy publicznej na zakup/wytworzenie infrastruktury o 10-letnim okresie amortyzacji.</w:t>
      </w:r>
    </w:p>
    <w:p w14:paraId="2B7360AD" w14:textId="77777777" w:rsidR="0010686A" w:rsidRPr="003C6AB5" w:rsidRDefault="0010686A" w:rsidP="0010686A">
      <w:pPr>
        <w:spacing w:after="160" w:line="259" w:lineRule="auto"/>
        <w:jc w:val="both"/>
        <w:rPr>
          <w:rFonts w:eastAsia="Calibri"/>
          <w:kern w:val="2"/>
          <w:lang w:eastAsia="en-US"/>
          <w14:ligatures w14:val="standardContextual"/>
        </w:rPr>
      </w:pPr>
      <w:r w:rsidRPr="003C6AB5">
        <w:rPr>
          <w:rFonts w:eastAsia="Calibri"/>
          <w:kern w:val="2"/>
          <w:lang w:eastAsia="en-US"/>
          <w14:ligatures w14:val="standardContextual"/>
        </w:rPr>
        <w:t>W przypadku przekroczenia w danym roku kalendarzowym dopuszczalnego limitu 20% udziału działalności gospodarczej w całkowitej rocznej wydajności infrastruktury, Beneficjent zobowiązany jest do dokonania korekty polegającej na zwrocie części uzyskanego dofinansowania.</w:t>
      </w:r>
    </w:p>
    <w:p w14:paraId="0450A531" w14:textId="77777777" w:rsidR="0010686A" w:rsidRPr="003C6AB5" w:rsidRDefault="0010686A" w:rsidP="0010686A">
      <w:pPr>
        <w:numPr>
          <w:ilvl w:val="0"/>
          <w:numId w:val="156"/>
        </w:numPr>
        <w:spacing w:after="160" w:line="259" w:lineRule="auto"/>
        <w:rPr>
          <w:rFonts w:eastAsia="Calibri"/>
          <w:kern w:val="2"/>
          <w:lang w:eastAsia="en-US"/>
          <w14:ligatures w14:val="standardContextual"/>
        </w:rPr>
      </w:pPr>
      <w:r w:rsidRPr="003C6AB5">
        <w:rPr>
          <w:rFonts w:eastAsia="Calibri"/>
          <w:b/>
          <w:bCs/>
          <w:kern w:val="2"/>
          <w:lang w:eastAsia="en-US"/>
          <w14:ligatures w14:val="standardContextual"/>
        </w:rPr>
        <w:t>Całkowite koszty kwalifikowalne projektu (KK)</w:t>
      </w:r>
      <w:r w:rsidRPr="003C6AB5">
        <w:rPr>
          <w:rFonts w:eastAsia="Calibri"/>
          <w:kern w:val="2"/>
          <w:lang w:eastAsia="en-US"/>
          <w14:ligatures w14:val="standardContextual"/>
        </w:rPr>
        <w:t>: 9 000 000 zł</w:t>
      </w:r>
    </w:p>
    <w:p w14:paraId="24DE0233" w14:textId="77777777" w:rsidR="0010686A" w:rsidRPr="003C6AB5" w:rsidRDefault="0010686A" w:rsidP="0010686A">
      <w:pPr>
        <w:numPr>
          <w:ilvl w:val="0"/>
          <w:numId w:val="156"/>
        </w:numPr>
        <w:spacing w:after="160" w:line="259" w:lineRule="auto"/>
        <w:rPr>
          <w:rFonts w:eastAsia="Calibri"/>
          <w:kern w:val="2"/>
          <w:lang w:eastAsia="en-US"/>
          <w14:ligatures w14:val="standardContextual"/>
        </w:rPr>
      </w:pPr>
      <w:r w:rsidRPr="003C6AB5">
        <w:rPr>
          <w:rFonts w:eastAsia="Calibri"/>
          <w:b/>
          <w:bCs/>
          <w:kern w:val="2"/>
          <w:lang w:eastAsia="en-US"/>
          <w14:ligatures w14:val="standardContextual"/>
        </w:rPr>
        <w:t>Intensywność dofinansowania działalności niegospodarczej (</w:t>
      </w:r>
      <w:proofErr w:type="spellStart"/>
      <w:r w:rsidRPr="003C6AB5">
        <w:rPr>
          <w:rFonts w:eastAsia="Calibri"/>
          <w:b/>
          <w:bCs/>
          <w:kern w:val="2"/>
          <w:lang w:eastAsia="en-US"/>
          <w14:ligatures w14:val="standardContextual"/>
        </w:rPr>
        <w:t>I</w:t>
      </w:r>
      <w:r w:rsidRPr="003C6AB5">
        <w:rPr>
          <w:rFonts w:eastAsia="Calibri"/>
          <w:b/>
          <w:bCs/>
          <w:kern w:val="2"/>
          <w:vertAlign w:val="subscript"/>
          <w:lang w:eastAsia="en-US"/>
          <w14:ligatures w14:val="standardContextual"/>
        </w:rPr>
        <w:t>dng</w:t>
      </w:r>
      <w:proofErr w:type="spellEnd"/>
      <w:r w:rsidRPr="003C6AB5">
        <w:rPr>
          <w:rFonts w:eastAsia="Calibri"/>
          <w:b/>
          <w:bCs/>
          <w:kern w:val="2"/>
          <w:lang w:eastAsia="en-US"/>
          <w14:ligatures w14:val="standardContextual"/>
        </w:rPr>
        <w:t>)</w:t>
      </w:r>
      <w:r w:rsidRPr="003C6AB5">
        <w:rPr>
          <w:rFonts w:eastAsia="Calibri"/>
          <w:kern w:val="2"/>
          <w:lang w:eastAsia="en-US"/>
          <w14:ligatures w14:val="standardContextual"/>
        </w:rPr>
        <w:t>: 80%</w:t>
      </w:r>
    </w:p>
    <w:p w14:paraId="7407173F" w14:textId="77777777" w:rsidR="0010686A" w:rsidRPr="003C6AB5" w:rsidRDefault="0010686A" w:rsidP="0010686A">
      <w:pPr>
        <w:numPr>
          <w:ilvl w:val="0"/>
          <w:numId w:val="156"/>
        </w:numPr>
        <w:spacing w:after="160" w:line="259" w:lineRule="auto"/>
        <w:rPr>
          <w:rFonts w:eastAsia="Calibri"/>
          <w:kern w:val="2"/>
          <w:lang w:eastAsia="en-US"/>
          <w14:ligatures w14:val="standardContextual"/>
        </w:rPr>
      </w:pPr>
      <w:r w:rsidRPr="003C6AB5">
        <w:rPr>
          <w:rFonts w:eastAsia="Calibri"/>
          <w:b/>
          <w:bCs/>
          <w:kern w:val="2"/>
          <w:lang w:eastAsia="en-US"/>
          <w14:ligatures w14:val="standardContextual"/>
        </w:rPr>
        <w:t>Łączna kwota dofinansowania publicznego (SŚP)</w:t>
      </w:r>
      <w:r w:rsidRPr="003C6AB5">
        <w:rPr>
          <w:rFonts w:eastAsia="Calibri"/>
          <w:kern w:val="2"/>
          <w:lang w:eastAsia="en-US"/>
          <w14:ligatures w14:val="standardContextual"/>
        </w:rPr>
        <w:t>: 7 200 000 zł</w:t>
      </w:r>
    </w:p>
    <w:p w14:paraId="4F13B8FB" w14:textId="77777777" w:rsidR="0010686A" w:rsidRPr="003C6AB5" w:rsidRDefault="0010686A" w:rsidP="0010686A">
      <w:pPr>
        <w:numPr>
          <w:ilvl w:val="0"/>
          <w:numId w:val="156"/>
        </w:numPr>
        <w:spacing w:after="160" w:line="259" w:lineRule="auto"/>
        <w:rPr>
          <w:rFonts w:eastAsia="Calibri"/>
          <w:kern w:val="2"/>
          <w:lang w:eastAsia="en-US"/>
          <w14:ligatures w14:val="standardContextual"/>
        </w:rPr>
      </w:pPr>
      <w:r w:rsidRPr="003C6AB5">
        <w:rPr>
          <w:rFonts w:eastAsia="Calibri"/>
          <w:b/>
          <w:bCs/>
          <w:kern w:val="2"/>
          <w:lang w:eastAsia="en-US"/>
          <w14:ligatures w14:val="standardContextual"/>
        </w:rPr>
        <w:t>Okres amortyzacji infrastruktury (OA)</w:t>
      </w:r>
      <w:r w:rsidRPr="003C6AB5">
        <w:rPr>
          <w:rFonts w:eastAsia="Calibri"/>
          <w:kern w:val="2"/>
          <w:lang w:eastAsia="en-US"/>
          <w14:ligatures w14:val="standardContextual"/>
        </w:rPr>
        <w:t xml:space="preserve">: 10 lat </w:t>
      </w:r>
    </w:p>
    <w:p w14:paraId="42AC6101" w14:textId="77777777" w:rsidR="0010686A" w:rsidRPr="003C6AB5" w:rsidRDefault="0010686A" w:rsidP="0010686A">
      <w:pPr>
        <w:spacing w:after="160" w:line="259" w:lineRule="auto"/>
        <w:rPr>
          <w:rFonts w:eastAsia="Calibri"/>
          <w:kern w:val="2"/>
          <w:lang w:eastAsia="en-US"/>
          <w14:ligatures w14:val="standardContextual"/>
        </w:rPr>
      </w:pPr>
      <w:r w:rsidRPr="003C6AB5">
        <w:rPr>
          <w:rFonts w:eastAsia="Calibri"/>
          <w:kern w:val="2"/>
          <w:lang w:eastAsia="en-US"/>
          <w14:ligatures w14:val="standardContextual"/>
        </w:rPr>
        <w:t xml:space="preserve">W danym roku (przykładowo </w:t>
      </w:r>
      <w:r w:rsidRPr="003C6AB5">
        <w:rPr>
          <w:rFonts w:eastAsia="Calibri"/>
          <w:b/>
          <w:bCs/>
          <w:kern w:val="2"/>
          <w:lang w:eastAsia="en-US"/>
          <w14:ligatures w14:val="standardContextual"/>
        </w:rPr>
        <w:t>Rok 5</w:t>
      </w:r>
      <w:r w:rsidRPr="003C6AB5">
        <w:rPr>
          <w:rFonts w:eastAsia="Calibri"/>
          <w:kern w:val="2"/>
          <w:lang w:eastAsia="en-US"/>
          <w14:ligatures w14:val="standardContextual"/>
        </w:rPr>
        <w:t>) udziały wykorzystania infrastruktury wyniosły:</w:t>
      </w:r>
    </w:p>
    <w:p w14:paraId="6A124BD0" w14:textId="77777777" w:rsidR="0010686A" w:rsidRPr="003C6AB5" w:rsidRDefault="0010686A" w:rsidP="0010686A">
      <w:pPr>
        <w:numPr>
          <w:ilvl w:val="0"/>
          <w:numId w:val="157"/>
        </w:numPr>
        <w:spacing w:after="160" w:line="259" w:lineRule="auto"/>
        <w:rPr>
          <w:rFonts w:eastAsia="Calibri"/>
          <w:kern w:val="2"/>
          <w:lang w:eastAsia="en-US"/>
          <w14:ligatures w14:val="standardContextual"/>
        </w:rPr>
      </w:pPr>
      <w:r w:rsidRPr="003C6AB5">
        <w:rPr>
          <w:rFonts w:eastAsia="Calibri"/>
          <w:b/>
          <w:bCs/>
          <w:kern w:val="2"/>
          <w:lang w:eastAsia="en-US"/>
          <w14:ligatures w14:val="standardContextual"/>
        </w:rPr>
        <w:t>Działalność niegospodarcza (DNG)</w:t>
      </w:r>
      <w:r w:rsidRPr="003C6AB5">
        <w:rPr>
          <w:rFonts w:eastAsia="Calibri"/>
          <w:kern w:val="2"/>
          <w:lang w:eastAsia="en-US"/>
          <w14:ligatures w14:val="standardContextual"/>
        </w:rPr>
        <w:t>: 75%</w:t>
      </w:r>
    </w:p>
    <w:p w14:paraId="5AF34C58" w14:textId="77777777" w:rsidR="0010686A" w:rsidRPr="003C6AB5" w:rsidRDefault="0010686A" w:rsidP="0010686A">
      <w:pPr>
        <w:numPr>
          <w:ilvl w:val="0"/>
          <w:numId w:val="157"/>
        </w:numPr>
        <w:spacing w:after="160" w:line="259" w:lineRule="auto"/>
        <w:rPr>
          <w:rFonts w:eastAsia="Calibri"/>
          <w:kern w:val="2"/>
          <w:lang w:eastAsia="en-US"/>
          <w14:ligatures w14:val="standardContextual"/>
        </w:rPr>
      </w:pPr>
      <w:r w:rsidRPr="003C6AB5">
        <w:rPr>
          <w:rFonts w:eastAsia="Calibri"/>
          <w:b/>
          <w:bCs/>
          <w:kern w:val="2"/>
          <w:lang w:eastAsia="en-US"/>
          <w14:ligatures w14:val="standardContextual"/>
        </w:rPr>
        <w:t>Działalność gospodarcza</w:t>
      </w:r>
      <w:r w:rsidRPr="003C6AB5">
        <w:rPr>
          <w:rFonts w:eastAsia="Calibri"/>
          <w:kern w:val="2"/>
          <w:lang w:eastAsia="en-US"/>
          <w14:ligatures w14:val="standardContextual"/>
        </w:rPr>
        <w:t>: 25% (przekroczono limit 20%)</w:t>
      </w:r>
    </w:p>
    <w:p w14:paraId="42C4A762" w14:textId="77777777" w:rsidR="0010686A" w:rsidRPr="003C6AB5" w:rsidRDefault="0010686A" w:rsidP="0010686A">
      <w:pPr>
        <w:spacing w:after="160" w:line="259" w:lineRule="auto"/>
        <w:ind w:left="720"/>
        <w:rPr>
          <w:rFonts w:eastAsia="Calibri"/>
          <w:kern w:val="2"/>
          <w:lang w:eastAsia="en-US"/>
          <w14:ligatures w14:val="standardContextual"/>
        </w:rPr>
      </w:pPr>
      <w:r w:rsidRPr="003C6AB5">
        <w:rPr>
          <w:rFonts w:eastAsia="Calibri"/>
          <w:b/>
          <w:bCs/>
          <w:kern w:val="2"/>
          <w:lang w:eastAsia="en-US"/>
          <w14:ligatures w14:val="standardContextual"/>
        </w:rPr>
        <w:t xml:space="preserve">Z </w:t>
      </w:r>
      <w:r w:rsidRPr="003C6AB5">
        <w:rPr>
          <w:rFonts w:eastAsia="Calibri"/>
          <w:kern w:val="2"/>
          <w:lang w:eastAsia="en-US"/>
          <w14:ligatures w14:val="standardContextual"/>
        </w:rPr>
        <w:t>= 7 200 000/10 – (9 000 000/10 x 75 % x 80%)</w:t>
      </w:r>
    </w:p>
    <w:p w14:paraId="0D562529" w14:textId="77777777" w:rsidR="0010686A" w:rsidRPr="003C6AB5" w:rsidRDefault="0010686A" w:rsidP="0010686A">
      <w:pPr>
        <w:spacing w:after="160" w:line="259" w:lineRule="auto"/>
        <w:rPr>
          <w:rFonts w:eastAsia="Calibri"/>
          <w:kern w:val="2"/>
          <w:lang w:eastAsia="en-US"/>
          <w14:ligatures w14:val="standardContextual"/>
        </w:rPr>
      </w:pPr>
      <w:r w:rsidRPr="003C6AB5">
        <w:rPr>
          <w:rFonts w:eastAsia="Calibri"/>
          <w:kern w:val="2"/>
          <w:lang w:eastAsia="en-US"/>
          <w14:ligatures w14:val="standardContextual"/>
        </w:rPr>
        <w:t xml:space="preserve">Kwota do zwrotu : 180 000 zł </w:t>
      </w:r>
    </w:p>
    <w:p w14:paraId="3CDC3F1B" w14:textId="77777777" w:rsidR="0010686A" w:rsidRPr="003C6AB5" w:rsidRDefault="0010686A" w:rsidP="0010686A">
      <w:pPr>
        <w:numPr>
          <w:ilvl w:val="0"/>
          <w:numId w:val="158"/>
        </w:numPr>
        <w:spacing w:after="160" w:line="259" w:lineRule="auto"/>
        <w:contextualSpacing/>
        <w:jc w:val="both"/>
        <w:rPr>
          <w:bCs/>
        </w:rPr>
      </w:pPr>
      <w:r w:rsidRPr="003C6AB5">
        <w:rPr>
          <w:bCs/>
        </w:rPr>
        <w:t xml:space="preserve">W przypadku, gdy w stosunku do poszczególnych elementów projektu ma zastosowanie inny maksymalny poziom wsparcia, obliczenia kwoty podlegającej zwrotowi dokonuje się oddzielnie dla każdego z tych elementów, a następnie sumuje się.  </w:t>
      </w:r>
    </w:p>
    <w:p w14:paraId="686DC4E6" w14:textId="77777777" w:rsidR="0010686A" w:rsidRPr="003C6AB5" w:rsidRDefault="0010686A" w:rsidP="0010686A">
      <w:pPr>
        <w:numPr>
          <w:ilvl w:val="0"/>
          <w:numId w:val="158"/>
        </w:numPr>
        <w:spacing w:after="160" w:line="259" w:lineRule="auto"/>
        <w:contextualSpacing/>
        <w:jc w:val="both"/>
        <w:rPr>
          <w:bCs/>
          <w:sz w:val="12"/>
          <w:szCs w:val="12"/>
        </w:rPr>
      </w:pPr>
      <w:r w:rsidRPr="003C6AB5">
        <w:rPr>
          <w:bCs/>
        </w:rPr>
        <w:t>Wyliczenia kwoty podlegającej zwrotowi dokonuje IZ na podstawie sprawozdania, o którym mowa w pkt 8 niniejszego Załącznika. IZ  może zażądać od Beneficjenta dodatkowych informacji lub wyjaśnień celem prawidłowego określenia kwoty zwrotu.</w:t>
      </w:r>
    </w:p>
    <w:p w14:paraId="5627A071" w14:textId="77777777" w:rsidR="0010686A" w:rsidRPr="003C6AB5" w:rsidRDefault="0010686A" w:rsidP="0010686A">
      <w:pPr>
        <w:numPr>
          <w:ilvl w:val="0"/>
          <w:numId w:val="158"/>
        </w:numPr>
        <w:spacing w:after="160" w:line="259" w:lineRule="auto"/>
        <w:contextualSpacing/>
        <w:jc w:val="both"/>
        <w:rPr>
          <w:bCs/>
        </w:rPr>
      </w:pPr>
      <w:r w:rsidRPr="003C6AB5">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4942F6AD" w14:textId="77777777" w:rsidR="0010686A" w:rsidRPr="003C6AB5" w:rsidRDefault="0010686A" w:rsidP="0010686A">
      <w:pPr>
        <w:numPr>
          <w:ilvl w:val="0"/>
          <w:numId w:val="158"/>
        </w:numPr>
        <w:spacing w:after="160" w:line="259" w:lineRule="auto"/>
        <w:contextualSpacing/>
        <w:jc w:val="both"/>
        <w:rPr>
          <w:bCs/>
        </w:rPr>
      </w:pPr>
      <w:r w:rsidRPr="003C6AB5">
        <w:rPr>
          <w:bCs/>
        </w:rPr>
        <w:t>Beneficjent zwraca kwotę podlegającą zwrotowi do Instytucji Zarządzającej w terminie 14 dni od dnia otrzymania wezwania do zwrotu.  Kwota zwrócona w terminie, o którym mowa w zdaniu poprzedzającym, nie podlega powiększeniu o odsetki.</w:t>
      </w:r>
    </w:p>
    <w:p w14:paraId="28FE2CB5" w14:textId="77777777" w:rsidR="0010686A" w:rsidRPr="003C6AB5" w:rsidRDefault="0010686A" w:rsidP="0010686A">
      <w:pPr>
        <w:numPr>
          <w:ilvl w:val="0"/>
          <w:numId w:val="158"/>
        </w:numPr>
        <w:spacing w:after="160" w:line="259" w:lineRule="auto"/>
        <w:contextualSpacing/>
        <w:jc w:val="both"/>
        <w:rPr>
          <w:bCs/>
        </w:rPr>
      </w:pPr>
      <w:r w:rsidRPr="003C6AB5">
        <w:rPr>
          <w:bCs/>
        </w:rPr>
        <w:t xml:space="preserve">Niedokonanie zwrotu wskazanej kwoty w terminie, o którym mowa w pkt 14 niniejszego Załącznika, stanowi wykorzystanie dofinansowania z naruszeniem procedur, o których mowa w art. 207 ust. 1 </w:t>
      </w:r>
      <w:r w:rsidRPr="003C6AB5">
        <w:rPr>
          <w:bCs/>
        </w:rPr>
        <w:lastRenderedPageBreak/>
        <w:t>pkt 2 ustawy z dnia 27 sierpnia 2009 r. o finansach publicznych i jest przesłanką do zwrotu środków wraz z odsetkami w wysokości określonej jak dla zaległości podatkowych, liczonymi od dnia przekazania środków.</w:t>
      </w:r>
    </w:p>
    <w:p w14:paraId="3A05D7C6" w14:textId="77777777" w:rsidR="0010686A" w:rsidRPr="003C6AB5" w:rsidRDefault="0010686A" w:rsidP="0010686A">
      <w:pPr>
        <w:numPr>
          <w:ilvl w:val="0"/>
          <w:numId w:val="158"/>
        </w:numPr>
        <w:spacing w:after="160" w:line="259" w:lineRule="auto"/>
        <w:contextualSpacing/>
        <w:jc w:val="both"/>
        <w:rPr>
          <w:bCs/>
        </w:rPr>
      </w:pPr>
      <w:r w:rsidRPr="003C6AB5">
        <w:rPr>
          <w:bCs/>
        </w:rPr>
        <w:t>Monitorowanie wykorzystania infrastruktury odbywa się w cyklach rocznych innych niż rok kalendarzowy tj. (należy wskazać).</w:t>
      </w:r>
    </w:p>
    <w:p w14:paraId="0D338D5E" w14:textId="77777777" w:rsidR="0010686A" w:rsidRPr="006F3F97" w:rsidRDefault="0010686A" w:rsidP="0010686A">
      <w:pPr>
        <w:tabs>
          <w:tab w:val="left" w:pos="7035"/>
        </w:tabs>
        <w:jc w:val="both"/>
      </w:pPr>
    </w:p>
    <w:p w14:paraId="2EA161DD" w14:textId="77777777" w:rsidR="0010686A" w:rsidRPr="006F3F97" w:rsidRDefault="0010686A" w:rsidP="00E75337">
      <w:pPr>
        <w:tabs>
          <w:tab w:val="left" w:pos="7035"/>
        </w:tabs>
        <w:jc w:val="both"/>
      </w:pPr>
    </w:p>
    <w:sectPr w:rsidR="0010686A" w:rsidRPr="006F3F97" w:rsidSect="00EF5D91">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6A57" w14:textId="77777777" w:rsidR="00EF5D91" w:rsidRDefault="00EF5D91" w:rsidP="0050422B">
      <w:r>
        <w:separator/>
      </w:r>
    </w:p>
    <w:p w14:paraId="6FFF5841" w14:textId="77777777" w:rsidR="00EF5D91" w:rsidRDefault="00EF5D91"/>
    <w:p w14:paraId="31E9AED9" w14:textId="77777777" w:rsidR="00EF5D91" w:rsidRDefault="00EF5D91"/>
  </w:endnote>
  <w:endnote w:type="continuationSeparator" w:id="0">
    <w:p w14:paraId="3DEFE2E2" w14:textId="77777777" w:rsidR="00EF5D91" w:rsidRDefault="00EF5D91" w:rsidP="0050422B">
      <w:r>
        <w:continuationSeparator/>
      </w:r>
    </w:p>
    <w:p w14:paraId="36DFC1C2" w14:textId="77777777" w:rsidR="00EF5D91" w:rsidRDefault="00EF5D91"/>
    <w:p w14:paraId="4118F828" w14:textId="77777777" w:rsidR="00EF5D91" w:rsidRDefault="00EF5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671FD4">
          <w:rPr>
            <w:noProof/>
            <w:sz w:val="22"/>
          </w:rPr>
          <w:t>- 41 -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C739" w14:textId="77777777" w:rsidR="00EF5D91" w:rsidRDefault="00EF5D91" w:rsidP="0050422B">
      <w:r>
        <w:separator/>
      </w:r>
    </w:p>
    <w:p w14:paraId="488DB64A" w14:textId="77777777" w:rsidR="00EF5D91" w:rsidRDefault="00EF5D91"/>
    <w:p w14:paraId="7F9713E3" w14:textId="77777777" w:rsidR="00EF5D91" w:rsidRDefault="00EF5D91"/>
  </w:footnote>
  <w:footnote w:type="continuationSeparator" w:id="0">
    <w:p w14:paraId="5B4F3BA8" w14:textId="77777777" w:rsidR="00EF5D91" w:rsidRDefault="00EF5D91" w:rsidP="0050422B">
      <w:r>
        <w:continuationSeparator/>
      </w:r>
    </w:p>
    <w:p w14:paraId="09B08B14" w14:textId="77777777" w:rsidR="00EF5D91" w:rsidRDefault="00EF5D91"/>
    <w:p w14:paraId="54D43915" w14:textId="77777777" w:rsidR="00EF5D91" w:rsidRDefault="00EF5D91"/>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r>
        <w:t xml:space="preserve">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07D706C6" w14:textId="57D54D34" w:rsidR="003E5226" w:rsidRDefault="003E5226">
      <w:pPr>
        <w:pStyle w:val="Tekstprzypisudolnego"/>
      </w:pPr>
      <w:r w:rsidRPr="002B31BA">
        <w:rPr>
          <w:rStyle w:val="Odwoanieprzypisudolnego"/>
        </w:rPr>
        <w:footnoteRef/>
      </w:r>
      <w:r w:rsidRPr="002B31BA">
        <w:t xml:space="preserve"> Dotyczy umów, w których wypłata drugiej i kolejnych transz zaliczki uzależniona jest od rozliczenia łącznej kwoty dotychczas otrzymanych transz zaliczki w wysokości niższej niż 100%.</w:t>
      </w:r>
      <w:r>
        <w:t xml:space="preserve">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0640BF1B" w14:textId="612D8FC0" w:rsidR="00EA70FE" w:rsidRDefault="00EA70FE">
      <w:pPr>
        <w:pStyle w:val="Tekstprzypisudolnego"/>
      </w:pPr>
      <w:r>
        <w:rPr>
          <w:rStyle w:val="Odwoanieprzypisudolnego"/>
        </w:rPr>
        <w:footnoteRef/>
      </w:r>
      <w:r>
        <w:t xml:space="preserve"> </w:t>
      </w:r>
      <w:r w:rsidRPr="0062682B">
        <w:t>Oświadczenia oraz dane zawarte we wniosku o dofinansowanie projektu są składane pod rygorem odpowiedzialności karnej za składanie fałszywych zeznań. Zgodnie z art. 233 ustawy z dnia 6 czerwca 1997 r. Kodeks karny</w:t>
      </w:r>
      <w:r>
        <w:t>, k</w:t>
      </w:r>
      <w:r w:rsidRPr="0062682B">
        <w:t>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footnote>
  <w:footnote w:id="30">
    <w:p w14:paraId="0F7C62FA" w14:textId="77777777" w:rsidR="00DF5F50" w:rsidRPr="006F3F97" w:rsidRDefault="00DF5F50" w:rsidP="006F3F97">
      <w:pPr>
        <w:pStyle w:val="Tekstprzypisudolnego"/>
        <w:jc w:val="both"/>
      </w:pPr>
      <w:r w:rsidRPr="006F3F97">
        <w:rPr>
          <w:rStyle w:val="Odwoanieprzypisudolnego"/>
        </w:rPr>
        <w:footnoteRef/>
      </w:r>
      <w:r w:rsidRPr="006F3F97">
        <w:t xml:space="preserve"> Opracowano na podstawie rekomendacji Ministerstwa Rozwoju zawartym w dokumencie pn. </w:t>
      </w:r>
      <w:r w:rsidRPr="006F3F97">
        <w:rPr>
          <w:i/>
        </w:rPr>
        <w:t>Mechanizm monitorowania i wycofania w przypadku finansowania infrastruktury badawczej ze środków publicznych</w:t>
      </w:r>
    </w:p>
  </w:footnote>
  <w:footnote w:id="31">
    <w:p w14:paraId="31EDBD67" w14:textId="19B954AC" w:rsidR="00DF5F50" w:rsidRDefault="00DF5F50" w:rsidP="006F3F97">
      <w:pPr>
        <w:pStyle w:val="Tekstprzypisudolnego"/>
        <w:jc w:val="both"/>
      </w:pPr>
      <w:r>
        <w:rPr>
          <w:rStyle w:val="Odwoanieprzypisudolnego"/>
        </w:rPr>
        <w:footnoteRef/>
      </w:r>
      <w:r>
        <w:t xml:space="preserve"> Przez wydajność infrastruktury należy rozumieć możliwości techniczne aparatury badawczej, tzn. jaki wolumen prac badawczych może zostać przeprowadzony w ciągu danego roku z wykorzystaniem danej aparatury. </w:t>
      </w:r>
      <w:r w:rsidRPr="00FB688F">
        <w:t>Możliwy czas użytkowania aparatury (mierzony w roboczogodzinach) będzie zróżnicowany w przypadku aparatury ze standardowym ograniczonym dostępem (określona liczba roboczogodzin możliwości pracy na dobę) i aparatury bezobsługowej (możliwość pracy 24 godziny na dobę), przy czym możliwy czas użytkowania należy pomniejszyć o niezbędne przerwy oraz dni przestoju, serwisu bądź konserwacji.</w:t>
      </w:r>
      <w:r>
        <w:t xml:space="preserve"> W przypadku środków trwałych, które nie mogą być wprost wykorzystywane do świadczenia usług w ramach działalności gospodarczej, roczną wydajność infrastruktury należy określić w odniesieniu do zespołów (grup) urządzeń, które łącznie są niezbędne do przeprowadzenia procesu badawczego.</w:t>
      </w:r>
    </w:p>
  </w:footnote>
  <w:footnote w:id="32">
    <w:p w14:paraId="0887F52F" w14:textId="3190481E"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Programu, dotację Ministerstwa Edukacji i Nauki lub inne środki publiczne i zasady, na jakich wsparcie to zostało udzielone, oraz włączyć je w zakres monitorowania.</w:t>
      </w:r>
    </w:p>
  </w:footnote>
  <w:footnote w:id="33">
    <w:p w14:paraId="62D5BA9A" w14:textId="77777777" w:rsidR="00DF5F50" w:rsidRDefault="00DF5F50" w:rsidP="006F3F97">
      <w:pPr>
        <w:pStyle w:val="Tekstprzypisudolnego"/>
      </w:pPr>
      <w:r>
        <w:rPr>
          <w:rStyle w:val="Odwoanieprzypisudolnego"/>
        </w:rPr>
        <w:footnoteRef/>
      </w:r>
      <w:r>
        <w:t xml:space="preserve"> Jw.</w:t>
      </w:r>
    </w:p>
  </w:footnote>
  <w:footnote w:id="34">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5">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6">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7">
    <w:p w14:paraId="0B8FE59C" w14:textId="2D89A326" w:rsidR="00DF5F50" w:rsidRDefault="00DF5F50" w:rsidP="00301DA2">
      <w:pPr>
        <w:pStyle w:val="Tekstprzypisudolnego"/>
        <w:jc w:val="both"/>
      </w:pPr>
      <w:r>
        <w:rPr>
          <w:rStyle w:val="Odwoanieprzypisudolnego"/>
        </w:rPr>
        <w:footnoteRef/>
      </w:r>
      <w:r>
        <w:t xml:space="preserve"> </w:t>
      </w:r>
      <w:r>
        <w:t>J.w</w:t>
      </w:r>
      <w:r w:rsidRPr="003E75FC">
        <w:t>.</w:t>
      </w:r>
    </w:p>
  </w:footnote>
  <w:footnote w:id="38">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9">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40">
    <w:p w14:paraId="73A37273" w14:textId="77777777" w:rsidR="00DF5F50" w:rsidRDefault="00DF5F50" w:rsidP="006F3F97">
      <w:pPr>
        <w:pStyle w:val="Tekstprzypisudolnego"/>
      </w:pPr>
      <w:r>
        <w:rPr>
          <w:rStyle w:val="Odwoanieprzypisudolnego"/>
        </w:rPr>
        <w:footnoteRef/>
      </w:r>
      <w:r>
        <w:t xml:space="preserve"> jw.</w:t>
      </w:r>
    </w:p>
  </w:footnote>
  <w:footnote w:id="41">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42">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1324750393" name="Obraz 132475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3EE0329"/>
    <w:multiLevelType w:val="hybridMultilevel"/>
    <w:tmpl w:val="E69A4864"/>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 w15:restartNumberingAfterBreak="0">
    <w:nsid w:val="0BC94772"/>
    <w:multiLevelType w:val="multilevel"/>
    <w:tmpl w:val="066E26E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4349FA"/>
    <w:multiLevelType w:val="hybridMultilevel"/>
    <w:tmpl w:val="BA26E340"/>
    <w:lvl w:ilvl="0" w:tplc="3750631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7"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EB520A"/>
    <w:multiLevelType w:val="hybridMultilevel"/>
    <w:tmpl w:val="16F656B2"/>
    <w:lvl w:ilvl="0" w:tplc="74C426E8">
      <w:start w:val="1"/>
      <w:numFmt w:val="decimal"/>
      <w:lvlText w:val="%1."/>
      <w:lvlJc w:val="left"/>
      <w:pPr>
        <w:ind w:left="720" w:hanging="360"/>
      </w:pPr>
    </w:lvl>
    <w:lvl w:ilvl="1" w:tplc="F7FE5232">
      <w:start w:val="1"/>
      <w:numFmt w:val="decimal"/>
      <w:lvlText w:val="%2."/>
      <w:lvlJc w:val="left"/>
      <w:pPr>
        <w:ind w:left="720" w:hanging="360"/>
      </w:pPr>
    </w:lvl>
    <w:lvl w:ilvl="2" w:tplc="B44A0F0E">
      <w:start w:val="1"/>
      <w:numFmt w:val="decimal"/>
      <w:lvlText w:val="%3."/>
      <w:lvlJc w:val="left"/>
      <w:pPr>
        <w:ind w:left="720" w:hanging="360"/>
      </w:pPr>
    </w:lvl>
    <w:lvl w:ilvl="3" w:tplc="0E10DDBE">
      <w:start w:val="1"/>
      <w:numFmt w:val="decimal"/>
      <w:lvlText w:val="%4."/>
      <w:lvlJc w:val="left"/>
      <w:pPr>
        <w:ind w:left="720" w:hanging="360"/>
      </w:pPr>
    </w:lvl>
    <w:lvl w:ilvl="4" w:tplc="58D09198">
      <w:start w:val="1"/>
      <w:numFmt w:val="decimal"/>
      <w:lvlText w:val="%5."/>
      <w:lvlJc w:val="left"/>
      <w:pPr>
        <w:ind w:left="720" w:hanging="360"/>
      </w:pPr>
    </w:lvl>
    <w:lvl w:ilvl="5" w:tplc="DF020E28">
      <w:start w:val="1"/>
      <w:numFmt w:val="decimal"/>
      <w:lvlText w:val="%6."/>
      <w:lvlJc w:val="left"/>
      <w:pPr>
        <w:ind w:left="720" w:hanging="360"/>
      </w:pPr>
    </w:lvl>
    <w:lvl w:ilvl="6" w:tplc="88AA6C32">
      <w:start w:val="1"/>
      <w:numFmt w:val="decimal"/>
      <w:lvlText w:val="%7."/>
      <w:lvlJc w:val="left"/>
      <w:pPr>
        <w:ind w:left="720" w:hanging="360"/>
      </w:pPr>
    </w:lvl>
    <w:lvl w:ilvl="7" w:tplc="54FA7258">
      <w:start w:val="1"/>
      <w:numFmt w:val="decimal"/>
      <w:lvlText w:val="%8."/>
      <w:lvlJc w:val="left"/>
      <w:pPr>
        <w:ind w:left="720" w:hanging="360"/>
      </w:pPr>
    </w:lvl>
    <w:lvl w:ilvl="8" w:tplc="23584D62">
      <w:start w:val="1"/>
      <w:numFmt w:val="decimal"/>
      <w:lvlText w:val="%9."/>
      <w:lvlJc w:val="left"/>
      <w:pPr>
        <w:ind w:left="720" w:hanging="360"/>
      </w:pPr>
    </w:lvl>
  </w:abstractNum>
  <w:abstractNum w:abstractNumId="19" w15:restartNumberingAfterBreak="0">
    <w:nsid w:val="10152248"/>
    <w:multiLevelType w:val="hybridMultilevel"/>
    <w:tmpl w:val="B4B29EBC"/>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0C33BF5"/>
    <w:multiLevelType w:val="hybridMultilevel"/>
    <w:tmpl w:val="D70EB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FB2878"/>
    <w:multiLevelType w:val="multilevel"/>
    <w:tmpl w:val="C298F3D2"/>
    <w:lvl w:ilvl="0">
      <w:start w:val="1"/>
      <w:numFmt w:val="lowerLetter"/>
      <w:lvlText w:val="%1)"/>
      <w:lvlJc w:val="left"/>
      <w:pPr>
        <w:ind w:left="717" w:hanging="360"/>
      </w:pPr>
      <w:rPr>
        <w:rFonts w:ascii="Calibri" w:eastAsia="Times New Roman" w:hAnsi="Calibri" w:cs="Calibri"/>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8"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8DD78D2"/>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FD2673"/>
    <w:multiLevelType w:val="hybridMultilevel"/>
    <w:tmpl w:val="9EE68B94"/>
    <w:lvl w:ilvl="0" w:tplc="0F6268AE">
      <w:start w:val="1"/>
      <w:numFmt w:val="bullet"/>
      <w:lvlText w:val=""/>
      <w:lvlJc w:val="left"/>
      <w:pPr>
        <w:ind w:left="720" w:hanging="360"/>
      </w:pPr>
      <w:rPr>
        <w:rFonts w:ascii="Symbol" w:hAnsi="Symbol"/>
      </w:rPr>
    </w:lvl>
    <w:lvl w:ilvl="1" w:tplc="73AACC62">
      <w:start w:val="1"/>
      <w:numFmt w:val="bullet"/>
      <w:lvlText w:val=""/>
      <w:lvlJc w:val="left"/>
      <w:pPr>
        <w:ind w:left="720" w:hanging="360"/>
      </w:pPr>
      <w:rPr>
        <w:rFonts w:ascii="Symbol" w:hAnsi="Symbol"/>
      </w:rPr>
    </w:lvl>
    <w:lvl w:ilvl="2" w:tplc="7F0A47C8">
      <w:start w:val="1"/>
      <w:numFmt w:val="bullet"/>
      <w:lvlText w:val=""/>
      <w:lvlJc w:val="left"/>
      <w:pPr>
        <w:ind w:left="720" w:hanging="360"/>
      </w:pPr>
      <w:rPr>
        <w:rFonts w:ascii="Symbol" w:hAnsi="Symbol"/>
      </w:rPr>
    </w:lvl>
    <w:lvl w:ilvl="3" w:tplc="577E05DE">
      <w:start w:val="1"/>
      <w:numFmt w:val="bullet"/>
      <w:lvlText w:val=""/>
      <w:lvlJc w:val="left"/>
      <w:pPr>
        <w:ind w:left="720" w:hanging="360"/>
      </w:pPr>
      <w:rPr>
        <w:rFonts w:ascii="Symbol" w:hAnsi="Symbol"/>
      </w:rPr>
    </w:lvl>
    <w:lvl w:ilvl="4" w:tplc="5F3E2DE6">
      <w:start w:val="1"/>
      <w:numFmt w:val="bullet"/>
      <w:lvlText w:val=""/>
      <w:lvlJc w:val="left"/>
      <w:pPr>
        <w:ind w:left="720" w:hanging="360"/>
      </w:pPr>
      <w:rPr>
        <w:rFonts w:ascii="Symbol" w:hAnsi="Symbol"/>
      </w:rPr>
    </w:lvl>
    <w:lvl w:ilvl="5" w:tplc="577A5E62">
      <w:start w:val="1"/>
      <w:numFmt w:val="bullet"/>
      <w:lvlText w:val=""/>
      <w:lvlJc w:val="left"/>
      <w:pPr>
        <w:ind w:left="720" w:hanging="360"/>
      </w:pPr>
      <w:rPr>
        <w:rFonts w:ascii="Symbol" w:hAnsi="Symbol"/>
      </w:rPr>
    </w:lvl>
    <w:lvl w:ilvl="6" w:tplc="4662AE62">
      <w:start w:val="1"/>
      <w:numFmt w:val="bullet"/>
      <w:lvlText w:val=""/>
      <w:lvlJc w:val="left"/>
      <w:pPr>
        <w:ind w:left="720" w:hanging="360"/>
      </w:pPr>
      <w:rPr>
        <w:rFonts w:ascii="Symbol" w:hAnsi="Symbol"/>
      </w:rPr>
    </w:lvl>
    <w:lvl w:ilvl="7" w:tplc="8E8C327E">
      <w:start w:val="1"/>
      <w:numFmt w:val="bullet"/>
      <w:lvlText w:val=""/>
      <w:lvlJc w:val="left"/>
      <w:pPr>
        <w:ind w:left="720" w:hanging="360"/>
      </w:pPr>
      <w:rPr>
        <w:rFonts w:ascii="Symbol" w:hAnsi="Symbol"/>
      </w:rPr>
    </w:lvl>
    <w:lvl w:ilvl="8" w:tplc="76A2872C">
      <w:start w:val="1"/>
      <w:numFmt w:val="bullet"/>
      <w:lvlText w:val=""/>
      <w:lvlJc w:val="left"/>
      <w:pPr>
        <w:ind w:left="720" w:hanging="360"/>
      </w:pPr>
      <w:rPr>
        <w:rFonts w:ascii="Symbol" w:hAnsi="Symbol"/>
      </w:rPr>
    </w:lvl>
  </w:abstractNum>
  <w:abstractNum w:abstractNumId="31"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32"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1C646694"/>
    <w:multiLevelType w:val="hybridMultilevel"/>
    <w:tmpl w:val="19B0ED42"/>
    <w:lvl w:ilvl="0" w:tplc="B044D442">
      <w:start w:val="1"/>
      <w:numFmt w:val="decimal"/>
      <w:lvlText w:val="%1 "/>
      <w:lvlJc w:val="left"/>
      <w:pPr>
        <w:ind w:left="720" w:hanging="360"/>
      </w:pPr>
    </w:lvl>
    <w:lvl w:ilvl="1" w:tplc="6658BD48">
      <w:start w:val="1"/>
      <w:numFmt w:val="decimal"/>
      <w:lvlText w:val="%2 "/>
      <w:lvlJc w:val="left"/>
      <w:pPr>
        <w:ind w:left="720" w:hanging="360"/>
      </w:pPr>
    </w:lvl>
    <w:lvl w:ilvl="2" w:tplc="0046BB72">
      <w:start w:val="1"/>
      <w:numFmt w:val="decimal"/>
      <w:lvlText w:val="%3 "/>
      <w:lvlJc w:val="left"/>
      <w:pPr>
        <w:ind w:left="720" w:hanging="360"/>
      </w:pPr>
    </w:lvl>
    <w:lvl w:ilvl="3" w:tplc="BAEEAF3A">
      <w:start w:val="1"/>
      <w:numFmt w:val="decimal"/>
      <w:lvlText w:val="%4 "/>
      <w:lvlJc w:val="left"/>
      <w:pPr>
        <w:ind w:left="720" w:hanging="360"/>
      </w:pPr>
    </w:lvl>
    <w:lvl w:ilvl="4" w:tplc="D9A06DB4">
      <w:start w:val="1"/>
      <w:numFmt w:val="decimal"/>
      <w:lvlText w:val="%5 "/>
      <w:lvlJc w:val="left"/>
      <w:pPr>
        <w:ind w:left="720" w:hanging="360"/>
      </w:pPr>
    </w:lvl>
    <w:lvl w:ilvl="5" w:tplc="0F9885AA">
      <w:start w:val="1"/>
      <w:numFmt w:val="decimal"/>
      <w:lvlText w:val="%6 "/>
      <w:lvlJc w:val="left"/>
      <w:pPr>
        <w:ind w:left="720" w:hanging="360"/>
      </w:pPr>
    </w:lvl>
    <w:lvl w:ilvl="6" w:tplc="685E6036">
      <w:start w:val="1"/>
      <w:numFmt w:val="decimal"/>
      <w:lvlText w:val="%7 "/>
      <w:lvlJc w:val="left"/>
      <w:pPr>
        <w:ind w:left="720" w:hanging="360"/>
      </w:pPr>
    </w:lvl>
    <w:lvl w:ilvl="7" w:tplc="4FA272E2">
      <w:start w:val="1"/>
      <w:numFmt w:val="decimal"/>
      <w:lvlText w:val="%8 "/>
      <w:lvlJc w:val="left"/>
      <w:pPr>
        <w:ind w:left="720" w:hanging="360"/>
      </w:pPr>
    </w:lvl>
    <w:lvl w:ilvl="8" w:tplc="A948986A">
      <w:start w:val="1"/>
      <w:numFmt w:val="decimal"/>
      <w:lvlText w:val="%9 "/>
      <w:lvlJc w:val="left"/>
      <w:pPr>
        <w:ind w:left="720" w:hanging="360"/>
      </w:pPr>
    </w:lvl>
  </w:abstractNum>
  <w:abstractNum w:abstractNumId="34"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5" w15:restartNumberingAfterBreak="0">
    <w:nsid w:val="1C786AFB"/>
    <w:multiLevelType w:val="hybridMultilevel"/>
    <w:tmpl w:val="D94CFC04"/>
    <w:lvl w:ilvl="0" w:tplc="A768F00C">
      <w:start w:val="1"/>
      <w:numFmt w:val="decimal"/>
      <w:lvlText w:val="%1)"/>
      <w:lvlJc w:val="left"/>
      <w:pPr>
        <w:ind w:left="720" w:hanging="360"/>
      </w:pPr>
    </w:lvl>
    <w:lvl w:ilvl="1" w:tplc="A19C7F42">
      <w:start w:val="1"/>
      <w:numFmt w:val="decimal"/>
      <w:lvlText w:val="%2)"/>
      <w:lvlJc w:val="left"/>
      <w:pPr>
        <w:ind w:left="720" w:hanging="360"/>
      </w:pPr>
    </w:lvl>
    <w:lvl w:ilvl="2" w:tplc="7D18A574">
      <w:start w:val="1"/>
      <w:numFmt w:val="decimal"/>
      <w:lvlText w:val="%3)"/>
      <w:lvlJc w:val="left"/>
      <w:pPr>
        <w:ind w:left="720" w:hanging="360"/>
      </w:pPr>
    </w:lvl>
    <w:lvl w:ilvl="3" w:tplc="F9B2C64C">
      <w:start w:val="1"/>
      <w:numFmt w:val="decimal"/>
      <w:lvlText w:val="%4)"/>
      <w:lvlJc w:val="left"/>
      <w:pPr>
        <w:ind w:left="720" w:hanging="360"/>
      </w:pPr>
    </w:lvl>
    <w:lvl w:ilvl="4" w:tplc="D652AE1E">
      <w:start w:val="1"/>
      <w:numFmt w:val="decimal"/>
      <w:lvlText w:val="%5)"/>
      <w:lvlJc w:val="left"/>
      <w:pPr>
        <w:ind w:left="720" w:hanging="360"/>
      </w:pPr>
    </w:lvl>
    <w:lvl w:ilvl="5" w:tplc="67885052">
      <w:start w:val="1"/>
      <w:numFmt w:val="decimal"/>
      <w:lvlText w:val="%6)"/>
      <w:lvlJc w:val="left"/>
      <w:pPr>
        <w:ind w:left="720" w:hanging="360"/>
      </w:pPr>
    </w:lvl>
    <w:lvl w:ilvl="6" w:tplc="B6045E14">
      <w:start w:val="1"/>
      <w:numFmt w:val="decimal"/>
      <w:lvlText w:val="%7)"/>
      <w:lvlJc w:val="left"/>
      <w:pPr>
        <w:ind w:left="720" w:hanging="360"/>
      </w:pPr>
    </w:lvl>
    <w:lvl w:ilvl="7" w:tplc="A61E400C">
      <w:start w:val="1"/>
      <w:numFmt w:val="decimal"/>
      <w:lvlText w:val="%8)"/>
      <w:lvlJc w:val="left"/>
      <w:pPr>
        <w:ind w:left="720" w:hanging="360"/>
      </w:pPr>
    </w:lvl>
    <w:lvl w:ilvl="8" w:tplc="62666CEC">
      <w:start w:val="1"/>
      <w:numFmt w:val="decimal"/>
      <w:lvlText w:val="%9)"/>
      <w:lvlJc w:val="left"/>
      <w:pPr>
        <w:ind w:left="720" w:hanging="360"/>
      </w:pPr>
    </w:lvl>
  </w:abstractNum>
  <w:abstractNum w:abstractNumId="36" w15:restartNumberingAfterBreak="0">
    <w:nsid w:val="1DCE1AE3"/>
    <w:multiLevelType w:val="hybridMultilevel"/>
    <w:tmpl w:val="4A38969C"/>
    <w:lvl w:ilvl="0" w:tplc="4912B6C0">
      <w:start w:val="1"/>
      <w:numFmt w:val="decimal"/>
      <w:lvlText w:val="%1)"/>
      <w:lvlJc w:val="left"/>
      <w:pPr>
        <w:ind w:left="720" w:hanging="360"/>
      </w:pPr>
    </w:lvl>
    <w:lvl w:ilvl="1" w:tplc="727EEBB4">
      <w:start w:val="1"/>
      <w:numFmt w:val="decimal"/>
      <w:lvlText w:val="%2)"/>
      <w:lvlJc w:val="left"/>
      <w:pPr>
        <w:ind w:left="720" w:hanging="360"/>
      </w:pPr>
    </w:lvl>
    <w:lvl w:ilvl="2" w:tplc="1B98F13A">
      <w:start w:val="1"/>
      <w:numFmt w:val="decimal"/>
      <w:lvlText w:val="%3)"/>
      <w:lvlJc w:val="left"/>
      <w:pPr>
        <w:ind w:left="720" w:hanging="360"/>
      </w:pPr>
    </w:lvl>
    <w:lvl w:ilvl="3" w:tplc="C722F142">
      <w:start w:val="1"/>
      <w:numFmt w:val="decimal"/>
      <w:lvlText w:val="%4)"/>
      <w:lvlJc w:val="left"/>
      <w:pPr>
        <w:ind w:left="720" w:hanging="360"/>
      </w:pPr>
    </w:lvl>
    <w:lvl w:ilvl="4" w:tplc="3A4A790E">
      <w:start w:val="1"/>
      <w:numFmt w:val="decimal"/>
      <w:lvlText w:val="%5)"/>
      <w:lvlJc w:val="left"/>
      <w:pPr>
        <w:ind w:left="720" w:hanging="360"/>
      </w:pPr>
    </w:lvl>
    <w:lvl w:ilvl="5" w:tplc="A1F238C8">
      <w:start w:val="1"/>
      <w:numFmt w:val="decimal"/>
      <w:lvlText w:val="%6)"/>
      <w:lvlJc w:val="left"/>
      <w:pPr>
        <w:ind w:left="720" w:hanging="360"/>
      </w:pPr>
    </w:lvl>
    <w:lvl w:ilvl="6" w:tplc="DA44E9CA">
      <w:start w:val="1"/>
      <w:numFmt w:val="decimal"/>
      <w:lvlText w:val="%7)"/>
      <w:lvlJc w:val="left"/>
      <w:pPr>
        <w:ind w:left="720" w:hanging="360"/>
      </w:pPr>
    </w:lvl>
    <w:lvl w:ilvl="7" w:tplc="6D5CCF78">
      <w:start w:val="1"/>
      <w:numFmt w:val="decimal"/>
      <w:lvlText w:val="%8)"/>
      <w:lvlJc w:val="left"/>
      <w:pPr>
        <w:ind w:left="720" w:hanging="360"/>
      </w:pPr>
    </w:lvl>
    <w:lvl w:ilvl="8" w:tplc="DE24B0DA">
      <w:start w:val="1"/>
      <w:numFmt w:val="decimal"/>
      <w:lvlText w:val="%9)"/>
      <w:lvlJc w:val="left"/>
      <w:pPr>
        <w:ind w:left="720" w:hanging="360"/>
      </w:pPr>
    </w:lvl>
  </w:abstractNum>
  <w:abstractNum w:abstractNumId="37"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426487"/>
    <w:multiLevelType w:val="hybridMultilevel"/>
    <w:tmpl w:val="B76077CE"/>
    <w:lvl w:ilvl="0" w:tplc="9D149378">
      <w:start w:val="1"/>
      <w:numFmt w:val="decimal"/>
      <w:lvlText w:val="%1."/>
      <w:lvlJc w:val="left"/>
      <w:pPr>
        <w:ind w:left="720" w:hanging="360"/>
      </w:pPr>
    </w:lvl>
    <w:lvl w:ilvl="1" w:tplc="D9901CF8">
      <w:start w:val="1"/>
      <w:numFmt w:val="decimal"/>
      <w:lvlText w:val="%2."/>
      <w:lvlJc w:val="left"/>
      <w:pPr>
        <w:ind w:left="720" w:hanging="360"/>
      </w:pPr>
    </w:lvl>
    <w:lvl w:ilvl="2" w:tplc="9D66E874">
      <w:start w:val="1"/>
      <w:numFmt w:val="decimal"/>
      <w:lvlText w:val="%3."/>
      <w:lvlJc w:val="left"/>
      <w:pPr>
        <w:ind w:left="720" w:hanging="360"/>
      </w:pPr>
    </w:lvl>
    <w:lvl w:ilvl="3" w:tplc="6AB4D836">
      <w:start w:val="1"/>
      <w:numFmt w:val="decimal"/>
      <w:lvlText w:val="%4."/>
      <w:lvlJc w:val="left"/>
      <w:pPr>
        <w:ind w:left="720" w:hanging="360"/>
      </w:pPr>
    </w:lvl>
    <w:lvl w:ilvl="4" w:tplc="46604EC4">
      <w:start w:val="1"/>
      <w:numFmt w:val="decimal"/>
      <w:lvlText w:val="%5."/>
      <w:lvlJc w:val="left"/>
      <w:pPr>
        <w:ind w:left="720" w:hanging="360"/>
      </w:pPr>
    </w:lvl>
    <w:lvl w:ilvl="5" w:tplc="45FC297C">
      <w:start w:val="1"/>
      <w:numFmt w:val="decimal"/>
      <w:lvlText w:val="%6."/>
      <w:lvlJc w:val="left"/>
      <w:pPr>
        <w:ind w:left="720" w:hanging="360"/>
      </w:pPr>
    </w:lvl>
    <w:lvl w:ilvl="6" w:tplc="F6745844">
      <w:start w:val="1"/>
      <w:numFmt w:val="decimal"/>
      <w:lvlText w:val="%7."/>
      <w:lvlJc w:val="left"/>
      <w:pPr>
        <w:ind w:left="720" w:hanging="360"/>
      </w:pPr>
    </w:lvl>
    <w:lvl w:ilvl="7" w:tplc="8910B53E">
      <w:start w:val="1"/>
      <w:numFmt w:val="decimal"/>
      <w:lvlText w:val="%8."/>
      <w:lvlJc w:val="left"/>
      <w:pPr>
        <w:ind w:left="720" w:hanging="360"/>
      </w:pPr>
    </w:lvl>
    <w:lvl w:ilvl="8" w:tplc="7F8A7696">
      <w:start w:val="1"/>
      <w:numFmt w:val="decimal"/>
      <w:lvlText w:val="%9."/>
      <w:lvlJc w:val="left"/>
      <w:pPr>
        <w:ind w:left="720" w:hanging="360"/>
      </w:pPr>
    </w:lvl>
  </w:abstractNum>
  <w:abstractNum w:abstractNumId="42"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43" w15:restartNumberingAfterBreak="0">
    <w:nsid w:val="247258A9"/>
    <w:multiLevelType w:val="hybridMultilevel"/>
    <w:tmpl w:val="37D2F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67F7E5F"/>
    <w:multiLevelType w:val="hybridMultilevel"/>
    <w:tmpl w:val="9A925470"/>
    <w:lvl w:ilvl="0" w:tplc="F5F6A2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6"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47" w15:restartNumberingAfterBreak="0">
    <w:nsid w:val="28504E6E"/>
    <w:multiLevelType w:val="hybridMultilevel"/>
    <w:tmpl w:val="59AED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8DF30B2"/>
    <w:multiLevelType w:val="hybridMultilevel"/>
    <w:tmpl w:val="D1E49FA8"/>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50" w15:restartNumberingAfterBreak="0">
    <w:nsid w:val="2A622CBB"/>
    <w:multiLevelType w:val="multilevel"/>
    <w:tmpl w:val="683E7A00"/>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B4C31C9"/>
    <w:multiLevelType w:val="hybridMultilevel"/>
    <w:tmpl w:val="37E0F9CA"/>
    <w:lvl w:ilvl="0" w:tplc="6B588C32">
      <w:start w:val="1"/>
      <w:numFmt w:val="decimal"/>
      <w:lvlText w:val="%1)"/>
      <w:lvlJc w:val="left"/>
      <w:pPr>
        <w:ind w:left="1440" w:hanging="360"/>
      </w:pPr>
    </w:lvl>
    <w:lvl w:ilvl="1" w:tplc="F0FA6152">
      <w:start w:val="1"/>
      <w:numFmt w:val="decimal"/>
      <w:lvlText w:val="%2)"/>
      <w:lvlJc w:val="left"/>
      <w:pPr>
        <w:ind w:left="1440" w:hanging="360"/>
      </w:pPr>
    </w:lvl>
    <w:lvl w:ilvl="2" w:tplc="02F8216A">
      <w:start w:val="1"/>
      <w:numFmt w:val="decimal"/>
      <w:lvlText w:val="%3)"/>
      <w:lvlJc w:val="left"/>
      <w:pPr>
        <w:ind w:left="1440" w:hanging="360"/>
      </w:pPr>
    </w:lvl>
    <w:lvl w:ilvl="3" w:tplc="2A823C0E">
      <w:start w:val="1"/>
      <w:numFmt w:val="decimal"/>
      <w:lvlText w:val="%4)"/>
      <w:lvlJc w:val="left"/>
      <w:pPr>
        <w:ind w:left="1440" w:hanging="360"/>
      </w:pPr>
    </w:lvl>
    <w:lvl w:ilvl="4" w:tplc="53845E0A">
      <w:start w:val="1"/>
      <w:numFmt w:val="decimal"/>
      <w:lvlText w:val="%5)"/>
      <w:lvlJc w:val="left"/>
      <w:pPr>
        <w:ind w:left="1440" w:hanging="360"/>
      </w:pPr>
    </w:lvl>
    <w:lvl w:ilvl="5" w:tplc="FF922080">
      <w:start w:val="1"/>
      <w:numFmt w:val="decimal"/>
      <w:lvlText w:val="%6)"/>
      <w:lvlJc w:val="left"/>
      <w:pPr>
        <w:ind w:left="1440" w:hanging="360"/>
      </w:pPr>
    </w:lvl>
    <w:lvl w:ilvl="6" w:tplc="4FF2828C">
      <w:start w:val="1"/>
      <w:numFmt w:val="decimal"/>
      <w:lvlText w:val="%7)"/>
      <w:lvlJc w:val="left"/>
      <w:pPr>
        <w:ind w:left="1440" w:hanging="360"/>
      </w:pPr>
    </w:lvl>
    <w:lvl w:ilvl="7" w:tplc="9FE23ED0">
      <w:start w:val="1"/>
      <w:numFmt w:val="decimal"/>
      <w:lvlText w:val="%8)"/>
      <w:lvlJc w:val="left"/>
      <w:pPr>
        <w:ind w:left="1440" w:hanging="360"/>
      </w:pPr>
    </w:lvl>
    <w:lvl w:ilvl="8" w:tplc="18C0C5C8">
      <w:start w:val="1"/>
      <w:numFmt w:val="decimal"/>
      <w:lvlText w:val="%9)"/>
      <w:lvlJc w:val="left"/>
      <w:pPr>
        <w:ind w:left="1440" w:hanging="360"/>
      </w:pPr>
    </w:lvl>
  </w:abstractNum>
  <w:abstractNum w:abstractNumId="52" w15:restartNumberingAfterBreak="0">
    <w:nsid w:val="2B837771"/>
    <w:multiLevelType w:val="hybridMultilevel"/>
    <w:tmpl w:val="68A279AA"/>
    <w:lvl w:ilvl="0" w:tplc="64F8D878">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53" w15:restartNumberingAfterBreak="0">
    <w:nsid w:val="2BB029A6"/>
    <w:multiLevelType w:val="multilevel"/>
    <w:tmpl w:val="62AA995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2FC138A5"/>
    <w:multiLevelType w:val="hybridMultilevel"/>
    <w:tmpl w:val="9D88E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0711E18"/>
    <w:multiLevelType w:val="hybridMultilevel"/>
    <w:tmpl w:val="4FC46786"/>
    <w:lvl w:ilvl="0" w:tplc="16C86E3A">
      <w:start w:val="1"/>
      <w:numFmt w:val="decimal"/>
      <w:lvlText w:val="%1)"/>
      <w:lvlJc w:val="left"/>
      <w:pPr>
        <w:ind w:left="720" w:hanging="360"/>
      </w:pPr>
    </w:lvl>
    <w:lvl w:ilvl="1" w:tplc="41747004">
      <w:start w:val="1"/>
      <w:numFmt w:val="decimal"/>
      <w:lvlText w:val="%2)"/>
      <w:lvlJc w:val="left"/>
      <w:pPr>
        <w:ind w:left="720" w:hanging="360"/>
      </w:pPr>
    </w:lvl>
    <w:lvl w:ilvl="2" w:tplc="E27EB628">
      <w:start w:val="1"/>
      <w:numFmt w:val="decimal"/>
      <w:lvlText w:val="%3)"/>
      <w:lvlJc w:val="left"/>
      <w:pPr>
        <w:ind w:left="720" w:hanging="360"/>
      </w:pPr>
    </w:lvl>
    <w:lvl w:ilvl="3" w:tplc="B31606F4">
      <w:start w:val="1"/>
      <w:numFmt w:val="decimal"/>
      <w:lvlText w:val="%4)"/>
      <w:lvlJc w:val="left"/>
      <w:pPr>
        <w:ind w:left="720" w:hanging="360"/>
      </w:pPr>
    </w:lvl>
    <w:lvl w:ilvl="4" w:tplc="3946C1A4">
      <w:start w:val="1"/>
      <w:numFmt w:val="decimal"/>
      <w:lvlText w:val="%5)"/>
      <w:lvlJc w:val="left"/>
      <w:pPr>
        <w:ind w:left="720" w:hanging="360"/>
      </w:pPr>
    </w:lvl>
    <w:lvl w:ilvl="5" w:tplc="4100F9B8">
      <w:start w:val="1"/>
      <w:numFmt w:val="decimal"/>
      <w:lvlText w:val="%6)"/>
      <w:lvlJc w:val="left"/>
      <w:pPr>
        <w:ind w:left="720" w:hanging="360"/>
      </w:pPr>
    </w:lvl>
    <w:lvl w:ilvl="6" w:tplc="9EC6A538">
      <w:start w:val="1"/>
      <w:numFmt w:val="decimal"/>
      <w:lvlText w:val="%7)"/>
      <w:lvlJc w:val="left"/>
      <w:pPr>
        <w:ind w:left="720" w:hanging="360"/>
      </w:pPr>
    </w:lvl>
    <w:lvl w:ilvl="7" w:tplc="DA86D5E6">
      <w:start w:val="1"/>
      <w:numFmt w:val="decimal"/>
      <w:lvlText w:val="%8)"/>
      <w:lvlJc w:val="left"/>
      <w:pPr>
        <w:ind w:left="720" w:hanging="360"/>
      </w:pPr>
    </w:lvl>
    <w:lvl w:ilvl="8" w:tplc="91B8C19A">
      <w:start w:val="1"/>
      <w:numFmt w:val="decimal"/>
      <w:lvlText w:val="%9)"/>
      <w:lvlJc w:val="left"/>
      <w:pPr>
        <w:ind w:left="720" w:hanging="360"/>
      </w:pPr>
    </w:lvl>
  </w:abstractNum>
  <w:abstractNum w:abstractNumId="62"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3"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5"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67" w15:restartNumberingAfterBreak="0">
    <w:nsid w:val="34184C66"/>
    <w:multiLevelType w:val="hybridMultilevel"/>
    <w:tmpl w:val="396E9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71" w15:restartNumberingAfterBreak="0">
    <w:nsid w:val="36BD3B15"/>
    <w:multiLevelType w:val="hybridMultilevel"/>
    <w:tmpl w:val="B3BA7852"/>
    <w:lvl w:ilvl="0" w:tplc="79E84636">
      <w:start w:val="1"/>
      <w:numFmt w:val="decimal"/>
      <w:lvlText w:val="%1)"/>
      <w:lvlJc w:val="left"/>
      <w:pPr>
        <w:ind w:left="1440" w:hanging="360"/>
      </w:pPr>
    </w:lvl>
    <w:lvl w:ilvl="1" w:tplc="FACC157C">
      <w:start w:val="1"/>
      <w:numFmt w:val="decimal"/>
      <w:lvlText w:val="%2)"/>
      <w:lvlJc w:val="left"/>
      <w:pPr>
        <w:ind w:left="1440" w:hanging="360"/>
      </w:pPr>
    </w:lvl>
    <w:lvl w:ilvl="2" w:tplc="8B1AFF24">
      <w:start w:val="1"/>
      <w:numFmt w:val="decimal"/>
      <w:lvlText w:val="%3)"/>
      <w:lvlJc w:val="left"/>
      <w:pPr>
        <w:ind w:left="1440" w:hanging="360"/>
      </w:pPr>
    </w:lvl>
    <w:lvl w:ilvl="3" w:tplc="D444B35C">
      <w:start w:val="1"/>
      <w:numFmt w:val="decimal"/>
      <w:lvlText w:val="%4)"/>
      <w:lvlJc w:val="left"/>
      <w:pPr>
        <w:ind w:left="1440" w:hanging="360"/>
      </w:pPr>
    </w:lvl>
    <w:lvl w:ilvl="4" w:tplc="83F24878">
      <w:start w:val="1"/>
      <w:numFmt w:val="decimal"/>
      <w:lvlText w:val="%5)"/>
      <w:lvlJc w:val="left"/>
      <w:pPr>
        <w:ind w:left="1440" w:hanging="360"/>
      </w:pPr>
    </w:lvl>
    <w:lvl w:ilvl="5" w:tplc="AEF6C2AC">
      <w:start w:val="1"/>
      <w:numFmt w:val="decimal"/>
      <w:lvlText w:val="%6)"/>
      <w:lvlJc w:val="left"/>
      <w:pPr>
        <w:ind w:left="1440" w:hanging="360"/>
      </w:pPr>
    </w:lvl>
    <w:lvl w:ilvl="6" w:tplc="C32C1BE4">
      <w:start w:val="1"/>
      <w:numFmt w:val="decimal"/>
      <w:lvlText w:val="%7)"/>
      <w:lvlJc w:val="left"/>
      <w:pPr>
        <w:ind w:left="1440" w:hanging="360"/>
      </w:pPr>
    </w:lvl>
    <w:lvl w:ilvl="7" w:tplc="4D52D814">
      <w:start w:val="1"/>
      <w:numFmt w:val="decimal"/>
      <w:lvlText w:val="%8)"/>
      <w:lvlJc w:val="left"/>
      <w:pPr>
        <w:ind w:left="1440" w:hanging="360"/>
      </w:pPr>
    </w:lvl>
    <w:lvl w:ilvl="8" w:tplc="18EEDED8">
      <w:start w:val="1"/>
      <w:numFmt w:val="decimal"/>
      <w:lvlText w:val="%9)"/>
      <w:lvlJc w:val="left"/>
      <w:pPr>
        <w:ind w:left="1440" w:hanging="360"/>
      </w:pPr>
    </w:lvl>
  </w:abstractNum>
  <w:abstractNum w:abstractNumId="7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76"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3E910FD5"/>
    <w:multiLevelType w:val="multilevel"/>
    <w:tmpl w:val="2734449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40A96051"/>
    <w:multiLevelType w:val="hybridMultilevel"/>
    <w:tmpl w:val="A0404180"/>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79" w15:restartNumberingAfterBreak="0">
    <w:nsid w:val="41615583"/>
    <w:multiLevelType w:val="hybridMultilevel"/>
    <w:tmpl w:val="73E8E6AE"/>
    <w:lvl w:ilvl="0" w:tplc="900CC1C2">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80"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4EA1875"/>
    <w:multiLevelType w:val="hybridMultilevel"/>
    <w:tmpl w:val="E398DE1C"/>
    <w:lvl w:ilvl="0" w:tplc="84764C2E">
      <w:start w:val="1"/>
      <w:numFmt w:val="decimal"/>
      <w:lvlText w:val="%1."/>
      <w:lvlJc w:val="left"/>
      <w:pPr>
        <w:ind w:left="720" w:hanging="360"/>
      </w:pPr>
    </w:lvl>
    <w:lvl w:ilvl="1" w:tplc="FCF25534">
      <w:start w:val="1"/>
      <w:numFmt w:val="decimal"/>
      <w:lvlText w:val="%2."/>
      <w:lvlJc w:val="left"/>
      <w:pPr>
        <w:ind w:left="720" w:hanging="360"/>
      </w:pPr>
    </w:lvl>
    <w:lvl w:ilvl="2" w:tplc="04404D2A">
      <w:start w:val="1"/>
      <w:numFmt w:val="decimal"/>
      <w:lvlText w:val="%3."/>
      <w:lvlJc w:val="left"/>
      <w:pPr>
        <w:ind w:left="720" w:hanging="360"/>
      </w:pPr>
    </w:lvl>
    <w:lvl w:ilvl="3" w:tplc="95CA091A">
      <w:start w:val="1"/>
      <w:numFmt w:val="decimal"/>
      <w:lvlText w:val="%4."/>
      <w:lvlJc w:val="left"/>
      <w:pPr>
        <w:ind w:left="720" w:hanging="360"/>
      </w:pPr>
    </w:lvl>
    <w:lvl w:ilvl="4" w:tplc="89F4BF06">
      <w:start w:val="1"/>
      <w:numFmt w:val="decimal"/>
      <w:lvlText w:val="%5."/>
      <w:lvlJc w:val="left"/>
      <w:pPr>
        <w:ind w:left="720" w:hanging="360"/>
      </w:pPr>
    </w:lvl>
    <w:lvl w:ilvl="5" w:tplc="BD585E5A">
      <w:start w:val="1"/>
      <w:numFmt w:val="decimal"/>
      <w:lvlText w:val="%6."/>
      <w:lvlJc w:val="left"/>
      <w:pPr>
        <w:ind w:left="720" w:hanging="360"/>
      </w:pPr>
    </w:lvl>
    <w:lvl w:ilvl="6" w:tplc="F74A7D14">
      <w:start w:val="1"/>
      <w:numFmt w:val="decimal"/>
      <w:lvlText w:val="%7."/>
      <w:lvlJc w:val="left"/>
      <w:pPr>
        <w:ind w:left="720" w:hanging="360"/>
      </w:pPr>
    </w:lvl>
    <w:lvl w:ilvl="7" w:tplc="EE747552">
      <w:start w:val="1"/>
      <w:numFmt w:val="decimal"/>
      <w:lvlText w:val="%8."/>
      <w:lvlJc w:val="left"/>
      <w:pPr>
        <w:ind w:left="720" w:hanging="360"/>
      </w:pPr>
    </w:lvl>
    <w:lvl w:ilvl="8" w:tplc="69AED5BE">
      <w:start w:val="1"/>
      <w:numFmt w:val="decimal"/>
      <w:lvlText w:val="%9."/>
      <w:lvlJc w:val="left"/>
      <w:pPr>
        <w:ind w:left="720" w:hanging="360"/>
      </w:pPr>
    </w:lvl>
  </w:abstractNum>
  <w:abstractNum w:abstractNumId="83"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7" w15:restartNumberingAfterBreak="0">
    <w:nsid w:val="48774583"/>
    <w:multiLevelType w:val="hybridMultilevel"/>
    <w:tmpl w:val="C52841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CDE292D"/>
    <w:multiLevelType w:val="hybridMultilevel"/>
    <w:tmpl w:val="B3C05668"/>
    <w:lvl w:ilvl="0" w:tplc="2CF4006C">
      <w:start w:val="1"/>
      <w:numFmt w:val="decimal"/>
      <w:lvlText w:val="%1."/>
      <w:lvlJc w:val="left"/>
      <w:pPr>
        <w:ind w:left="720" w:hanging="360"/>
      </w:pPr>
    </w:lvl>
    <w:lvl w:ilvl="1" w:tplc="80C0A336">
      <w:start w:val="1"/>
      <w:numFmt w:val="decimal"/>
      <w:lvlText w:val="%2."/>
      <w:lvlJc w:val="left"/>
      <w:pPr>
        <w:ind w:left="720" w:hanging="360"/>
      </w:pPr>
    </w:lvl>
    <w:lvl w:ilvl="2" w:tplc="D7F0A6D8">
      <w:start w:val="1"/>
      <w:numFmt w:val="decimal"/>
      <w:lvlText w:val="%3."/>
      <w:lvlJc w:val="left"/>
      <w:pPr>
        <w:ind w:left="720" w:hanging="360"/>
      </w:pPr>
    </w:lvl>
    <w:lvl w:ilvl="3" w:tplc="209C49AA">
      <w:start w:val="1"/>
      <w:numFmt w:val="decimal"/>
      <w:lvlText w:val="%4."/>
      <w:lvlJc w:val="left"/>
      <w:pPr>
        <w:ind w:left="720" w:hanging="360"/>
      </w:pPr>
    </w:lvl>
    <w:lvl w:ilvl="4" w:tplc="4C92D952">
      <w:start w:val="1"/>
      <w:numFmt w:val="decimal"/>
      <w:lvlText w:val="%5."/>
      <w:lvlJc w:val="left"/>
      <w:pPr>
        <w:ind w:left="720" w:hanging="360"/>
      </w:pPr>
    </w:lvl>
    <w:lvl w:ilvl="5" w:tplc="BD1427A0">
      <w:start w:val="1"/>
      <w:numFmt w:val="decimal"/>
      <w:lvlText w:val="%6."/>
      <w:lvlJc w:val="left"/>
      <w:pPr>
        <w:ind w:left="720" w:hanging="360"/>
      </w:pPr>
    </w:lvl>
    <w:lvl w:ilvl="6" w:tplc="9BCA0434">
      <w:start w:val="1"/>
      <w:numFmt w:val="decimal"/>
      <w:lvlText w:val="%7."/>
      <w:lvlJc w:val="left"/>
      <w:pPr>
        <w:ind w:left="720" w:hanging="360"/>
      </w:pPr>
    </w:lvl>
    <w:lvl w:ilvl="7" w:tplc="A044D270">
      <w:start w:val="1"/>
      <w:numFmt w:val="decimal"/>
      <w:lvlText w:val="%8."/>
      <w:lvlJc w:val="left"/>
      <w:pPr>
        <w:ind w:left="720" w:hanging="360"/>
      </w:pPr>
    </w:lvl>
    <w:lvl w:ilvl="8" w:tplc="A88ECD9E">
      <w:start w:val="1"/>
      <w:numFmt w:val="decimal"/>
      <w:lvlText w:val="%9."/>
      <w:lvlJc w:val="left"/>
      <w:pPr>
        <w:ind w:left="720" w:hanging="360"/>
      </w:pPr>
    </w:lvl>
  </w:abstractNum>
  <w:abstractNum w:abstractNumId="90" w15:restartNumberingAfterBreak="0">
    <w:nsid w:val="4D144B6E"/>
    <w:multiLevelType w:val="multilevel"/>
    <w:tmpl w:val="E94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93"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F897CD0"/>
    <w:multiLevelType w:val="hybridMultilevel"/>
    <w:tmpl w:val="1D5820F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515F7767"/>
    <w:multiLevelType w:val="hybridMultilevel"/>
    <w:tmpl w:val="F01E756E"/>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4120070"/>
    <w:multiLevelType w:val="hybridMultilevel"/>
    <w:tmpl w:val="10B2F444"/>
    <w:lvl w:ilvl="0" w:tplc="7CD2FB74">
      <w:start w:val="1"/>
      <w:numFmt w:val="decimal"/>
      <w:lvlText w:val="%1."/>
      <w:lvlJc w:val="left"/>
      <w:pPr>
        <w:ind w:left="720" w:hanging="360"/>
      </w:pPr>
    </w:lvl>
    <w:lvl w:ilvl="1" w:tplc="33802BEE">
      <w:start w:val="1"/>
      <w:numFmt w:val="decimal"/>
      <w:lvlText w:val="%2."/>
      <w:lvlJc w:val="left"/>
      <w:pPr>
        <w:ind w:left="720" w:hanging="360"/>
      </w:pPr>
    </w:lvl>
    <w:lvl w:ilvl="2" w:tplc="A00EE50C">
      <w:start w:val="1"/>
      <w:numFmt w:val="decimal"/>
      <w:lvlText w:val="%3."/>
      <w:lvlJc w:val="left"/>
      <w:pPr>
        <w:ind w:left="720" w:hanging="360"/>
      </w:pPr>
    </w:lvl>
    <w:lvl w:ilvl="3" w:tplc="B3B84BA0">
      <w:start w:val="1"/>
      <w:numFmt w:val="decimal"/>
      <w:lvlText w:val="%4."/>
      <w:lvlJc w:val="left"/>
      <w:pPr>
        <w:ind w:left="720" w:hanging="360"/>
      </w:pPr>
    </w:lvl>
    <w:lvl w:ilvl="4" w:tplc="BF0A925E">
      <w:start w:val="1"/>
      <w:numFmt w:val="decimal"/>
      <w:lvlText w:val="%5."/>
      <w:lvlJc w:val="left"/>
      <w:pPr>
        <w:ind w:left="720" w:hanging="360"/>
      </w:pPr>
    </w:lvl>
    <w:lvl w:ilvl="5" w:tplc="8E84E698">
      <w:start w:val="1"/>
      <w:numFmt w:val="decimal"/>
      <w:lvlText w:val="%6."/>
      <w:lvlJc w:val="left"/>
      <w:pPr>
        <w:ind w:left="720" w:hanging="360"/>
      </w:pPr>
    </w:lvl>
    <w:lvl w:ilvl="6" w:tplc="FF5E57B8">
      <w:start w:val="1"/>
      <w:numFmt w:val="decimal"/>
      <w:lvlText w:val="%7."/>
      <w:lvlJc w:val="left"/>
      <w:pPr>
        <w:ind w:left="720" w:hanging="360"/>
      </w:pPr>
    </w:lvl>
    <w:lvl w:ilvl="7" w:tplc="86C4823E">
      <w:start w:val="1"/>
      <w:numFmt w:val="decimal"/>
      <w:lvlText w:val="%8."/>
      <w:lvlJc w:val="left"/>
      <w:pPr>
        <w:ind w:left="720" w:hanging="360"/>
      </w:pPr>
    </w:lvl>
    <w:lvl w:ilvl="8" w:tplc="026C4608">
      <w:start w:val="1"/>
      <w:numFmt w:val="decimal"/>
      <w:lvlText w:val="%9."/>
      <w:lvlJc w:val="left"/>
      <w:pPr>
        <w:ind w:left="720" w:hanging="360"/>
      </w:pPr>
    </w:lvl>
  </w:abstractNum>
  <w:abstractNum w:abstractNumId="99" w15:restartNumberingAfterBreak="0">
    <w:nsid w:val="55334356"/>
    <w:multiLevelType w:val="hybridMultilevel"/>
    <w:tmpl w:val="FFF6469C"/>
    <w:lvl w:ilvl="0" w:tplc="FFFFFFFF">
      <w:start w:val="1"/>
      <w:numFmt w:val="decimal"/>
      <w:lvlText w:val="%1)"/>
      <w:lvlJc w:val="left"/>
      <w:pPr>
        <w:tabs>
          <w:tab w:val="num" w:pos="786"/>
        </w:tabs>
        <w:ind w:left="786" w:hanging="360"/>
      </w:pPr>
      <w:rPr>
        <w:rFonts w:cs="Times New Roman" w:hint="default"/>
        <w:b w:val="0"/>
        <w:i w:val="0"/>
        <w:iCs w:val="0"/>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582143E2"/>
    <w:multiLevelType w:val="hybridMultilevel"/>
    <w:tmpl w:val="A2201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5"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5B341AC6"/>
    <w:multiLevelType w:val="hybridMultilevel"/>
    <w:tmpl w:val="CBB207C4"/>
    <w:lvl w:ilvl="0" w:tplc="2CAAD170">
      <w:start w:val="1"/>
      <w:numFmt w:val="decimal"/>
      <w:lvlText w:val="%1."/>
      <w:lvlJc w:val="left"/>
      <w:pPr>
        <w:ind w:left="720" w:hanging="360"/>
      </w:pPr>
    </w:lvl>
    <w:lvl w:ilvl="1" w:tplc="67E67B1C">
      <w:start w:val="1"/>
      <w:numFmt w:val="decimal"/>
      <w:lvlText w:val="%2."/>
      <w:lvlJc w:val="left"/>
      <w:pPr>
        <w:ind w:left="720" w:hanging="360"/>
      </w:pPr>
    </w:lvl>
    <w:lvl w:ilvl="2" w:tplc="7FB813DC">
      <w:start w:val="1"/>
      <w:numFmt w:val="decimal"/>
      <w:lvlText w:val="%3."/>
      <w:lvlJc w:val="left"/>
      <w:pPr>
        <w:ind w:left="720" w:hanging="360"/>
      </w:pPr>
    </w:lvl>
    <w:lvl w:ilvl="3" w:tplc="4F365C4C">
      <w:start w:val="1"/>
      <w:numFmt w:val="decimal"/>
      <w:lvlText w:val="%4."/>
      <w:lvlJc w:val="left"/>
      <w:pPr>
        <w:ind w:left="720" w:hanging="360"/>
      </w:pPr>
    </w:lvl>
    <w:lvl w:ilvl="4" w:tplc="4FB65BCA">
      <w:start w:val="1"/>
      <w:numFmt w:val="decimal"/>
      <w:lvlText w:val="%5."/>
      <w:lvlJc w:val="left"/>
      <w:pPr>
        <w:ind w:left="720" w:hanging="360"/>
      </w:pPr>
    </w:lvl>
    <w:lvl w:ilvl="5" w:tplc="F2A06466">
      <w:start w:val="1"/>
      <w:numFmt w:val="decimal"/>
      <w:lvlText w:val="%6."/>
      <w:lvlJc w:val="left"/>
      <w:pPr>
        <w:ind w:left="720" w:hanging="360"/>
      </w:pPr>
    </w:lvl>
    <w:lvl w:ilvl="6" w:tplc="FD7ACC08">
      <w:start w:val="1"/>
      <w:numFmt w:val="decimal"/>
      <w:lvlText w:val="%7."/>
      <w:lvlJc w:val="left"/>
      <w:pPr>
        <w:ind w:left="720" w:hanging="360"/>
      </w:pPr>
    </w:lvl>
    <w:lvl w:ilvl="7" w:tplc="EF180076">
      <w:start w:val="1"/>
      <w:numFmt w:val="decimal"/>
      <w:lvlText w:val="%8."/>
      <w:lvlJc w:val="left"/>
      <w:pPr>
        <w:ind w:left="720" w:hanging="360"/>
      </w:pPr>
    </w:lvl>
    <w:lvl w:ilvl="8" w:tplc="1A2A3360">
      <w:start w:val="1"/>
      <w:numFmt w:val="decimal"/>
      <w:lvlText w:val="%9."/>
      <w:lvlJc w:val="left"/>
      <w:pPr>
        <w:ind w:left="720" w:hanging="360"/>
      </w:pPr>
    </w:lvl>
  </w:abstractNum>
  <w:abstractNum w:abstractNumId="11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E576D02"/>
    <w:multiLevelType w:val="hybridMultilevel"/>
    <w:tmpl w:val="7B3AC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3"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4"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15"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7"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9"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0"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2" w15:restartNumberingAfterBreak="0">
    <w:nsid w:val="705072AF"/>
    <w:multiLevelType w:val="hybridMultilevel"/>
    <w:tmpl w:val="055CF9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3"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4" w15:restartNumberingAfterBreak="0">
    <w:nsid w:val="7399122B"/>
    <w:multiLevelType w:val="hybridMultilevel"/>
    <w:tmpl w:val="65F877A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5" w15:restartNumberingAfterBreak="0">
    <w:nsid w:val="74133F49"/>
    <w:multiLevelType w:val="hybridMultilevel"/>
    <w:tmpl w:val="310E3380"/>
    <w:lvl w:ilvl="0" w:tplc="1F36A094">
      <w:start w:val="1"/>
      <w:numFmt w:val="decimal"/>
      <w:lvlText w:val="%1)"/>
      <w:lvlJc w:val="left"/>
      <w:pPr>
        <w:ind w:left="1440" w:hanging="360"/>
      </w:pPr>
    </w:lvl>
    <w:lvl w:ilvl="1" w:tplc="FD261CC8">
      <w:start w:val="1"/>
      <w:numFmt w:val="decimal"/>
      <w:lvlText w:val="%2)"/>
      <w:lvlJc w:val="left"/>
      <w:pPr>
        <w:ind w:left="1440" w:hanging="360"/>
      </w:pPr>
    </w:lvl>
    <w:lvl w:ilvl="2" w:tplc="854EA3F8">
      <w:start w:val="1"/>
      <w:numFmt w:val="decimal"/>
      <w:lvlText w:val="%3)"/>
      <w:lvlJc w:val="left"/>
      <w:pPr>
        <w:ind w:left="1440" w:hanging="360"/>
      </w:pPr>
    </w:lvl>
    <w:lvl w:ilvl="3" w:tplc="DC4C04C8">
      <w:start w:val="1"/>
      <w:numFmt w:val="decimal"/>
      <w:lvlText w:val="%4)"/>
      <w:lvlJc w:val="left"/>
      <w:pPr>
        <w:ind w:left="1440" w:hanging="360"/>
      </w:pPr>
    </w:lvl>
    <w:lvl w:ilvl="4" w:tplc="CEECC464">
      <w:start w:val="1"/>
      <w:numFmt w:val="decimal"/>
      <w:lvlText w:val="%5)"/>
      <w:lvlJc w:val="left"/>
      <w:pPr>
        <w:ind w:left="1440" w:hanging="360"/>
      </w:pPr>
    </w:lvl>
    <w:lvl w:ilvl="5" w:tplc="DB5AC31E">
      <w:start w:val="1"/>
      <w:numFmt w:val="decimal"/>
      <w:lvlText w:val="%6)"/>
      <w:lvlJc w:val="left"/>
      <w:pPr>
        <w:ind w:left="1440" w:hanging="360"/>
      </w:pPr>
    </w:lvl>
    <w:lvl w:ilvl="6" w:tplc="CBE2350E">
      <w:start w:val="1"/>
      <w:numFmt w:val="decimal"/>
      <w:lvlText w:val="%7)"/>
      <w:lvlJc w:val="left"/>
      <w:pPr>
        <w:ind w:left="1440" w:hanging="360"/>
      </w:pPr>
    </w:lvl>
    <w:lvl w:ilvl="7" w:tplc="D8E6998E">
      <w:start w:val="1"/>
      <w:numFmt w:val="decimal"/>
      <w:lvlText w:val="%8)"/>
      <w:lvlJc w:val="left"/>
      <w:pPr>
        <w:ind w:left="1440" w:hanging="360"/>
      </w:pPr>
    </w:lvl>
    <w:lvl w:ilvl="8" w:tplc="590CB876">
      <w:start w:val="1"/>
      <w:numFmt w:val="decimal"/>
      <w:lvlText w:val="%9)"/>
      <w:lvlJc w:val="left"/>
      <w:pPr>
        <w:ind w:left="1440" w:hanging="360"/>
      </w:pPr>
    </w:lvl>
  </w:abstractNum>
  <w:abstractNum w:abstractNumId="136"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518609B"/>
    <w:multiLevelType w:val="multilevel"/>
    <w:tmpl w:val="AE3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9" w15:restartNumberingAfterBreak="0">
    <w:nsid w:val="76DD4394"/>
    <w:multiLevelType w:val="hybridMultilevel"/>
    <w:tmpl w:val="A064CA5E"/>
    <w:lvl w:ilvl="0" w:tplc="31A4E762">
      <w:start w:val="1"/>
      <w:numFmt w:val="decimal"/>
      <w:lvlText w:val="%1."/>
      <w:lvlJc w:val="left"/>
      <w:pPr>
        <w:ind w:left="720" w:hanging="360"/>
      </w:pPr>
    </w:lvl>
    <w:lvl w:ilvl="1" w:tplc="1E0AE5E0">
      <w:start w:val="1"/>
      <w:numFmt w:val="decimal"/>
      <w:lvlText w:val="%2."/>
      <w:lvlJc w:val="left"/>
      <w:pPr>
        <w:ind w:left="720" w:hanging="360"/>
      </w:pPr>
    </w:lvl>
    <w:lvl w:ilvl="2" w:tplc="4A62E09C">
      <w:start w:val="1"/>
      <w:numFmt w:val="decimal"/>
      <w:lvlText w:val="%3."/>
      <w:lvlJc w:val="left"/>
      <w:pPr>
        <w:ind w:left="720" w:hanging="360"/>
      </w:pPr>
    </w:lvl>
    <w:lvl w:ilvl="3" w:tplc="70F294C2">
      <w:start w:val="1"/>
      <w:numFmt w:val="decimal"/>
      <w:lvlText w:val="%4."/>
      <w:lvlJc w:val="left"/>
      <w:pPr>
        <w:ind w:left="720" w:hanging="360"/>
      </w:pPr>
    </w:lvl>
    <w:lvl w:ilvl="4" w:tplc="44001786">
      <w:start w:val="1"/>
      <w:numFmt w:val="decimal"/>
      <w:lvlText w:val="%5."/>
      <w:lvlJc w:val="left"/>
      <w:pPr>
        <w:ind w:left="720" w:hanging="360"/>
      </w:pPr>
    </w:lvl>
    <w:lvl w:ilvl="5" w:tplc="CC8A511A">
      <w:start w:val="1"/>
      <w:numFmt w:val="decimal"/>
      <w:lvlText w:val="%6."/>
      <w:lvlJc w:val="left"/>
      <w:pPr>
        <w:ind w:left="720" w:hanging="360"/>
      </w:pPr>
    </w:lvl>
    <w:lvl w:ilvl="6" w:tplc="D5B63190">
      <w:start w:val="1"/>
      <w:numFmt w:val="decimal"/>
      <w:lvlText w:val="%7."/>
      <w:lvlJc w:val="left"/>
      <w:pPr>
        <w:ind w:left="720" w:hanging="360"/>
      </w:pPr>
    </w:lvl>
    <w:lvl w:ilvl="7" w:tplc="CBF052CA">
      <w:start w:val="1"/>
      <w:numFmt w:val="decimal"/>
      <w:lvlText w:val="%8."/>
      <w:lvlJc w:val="left"/>
      <w:pPr>
        <w:ind w:left="720" w:hanging="360"/>
      </w:pPr>
    </w:lvl>
    <w:lvl w:ilvl="8" w:tplc="7A744930">
      <w:start w:val="1"/>
      <w:numFmt w:val="decimal"/>
      <w:lvlText w:val="%9."/>
      <w:lvlJc w:val="left"/>
      <w:pPr>
        <w:ind w:left="720" w:hanging="360"/>
      </w:pPr>
    </w:lvl>
  </w:abstractNum>
  <w:abstractNum w:abstractNumId="140"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3"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7"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48"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9"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1"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1584339178">
    <w:abstractNumId w:val="21"/>
  </w:num>
  <w:num w:numId="2" w16cid:durableId="1402752424">
    <w:abstractNumId w:val="38"/>
  </w:num>
  <w:num w:numId="3" w16cid:durableId="1309625300">
    <w:abstractNumId w:val="70"/>
  </w:num>
  <w:num w:numId="4" w16cid:durableId="632104492">
    <w:abstractNumId w:val="46"/>
  </w:num>
  <w:num w:numId="5" w16cid:durableId="547911879">
    <w:abstractNumId w:val="107"/>
  </w:num>
  <w:num w:numId="6" w16cid:durableId="1298225005">
    <w:abstractNumId w:val="5"/>
  </w:num>
  <w:num w:numId="7" w16cid:durableId="1469861456">
    <w:abstractNumId w:val="142"/>
  </w:num>
  <w:num w:numId="8" w16cid:durableId="228733349">
    <w:abstractNumId w:val="146"/>
  </w:num>
  <w:num w:numId="9" w16cid:durableId="1294604008">
    <w:abstractNumId w:val="106"/>
  </w:num>
  <w:num w:numId="10" w16cid:durableId="1218736765">
    <w:abstractNumId w:val="26"/>
  </w:num>
  <w:num w:numId="11" w16cid:durableId="1135030526">
    <w:abstractNumId w:val="84"/>
  </w:num>
  <w:num w:numId="12" w16cid:durableId="1541629293">
    <w:abstractNumId w:val="45"/>
  </w:num>
  <w:num w:numId="13" w16cid:durableId="6489516">
    <w:abstractNumId w:val="112"/>
  </w:num>
  <w:num w:numId="14" w16cid:durableId="457185112">
    <w:abstractNumId w:val="40"/>
  </w:num>
  <w:num w:numId="15" w16cid:durableId="242644519">
    <w:abstractNumId w:val="83"/>
  </w:num>
  <w:num w:numId="16" w16cid:durableId="215286005">
    <w:abstractNumId w:val="1"/>
  </w:num>
  <w:num w:numId="17" w16cid:durableId="1598832914">
    <w:abstractNumId w:val="131"/>
  </w:num>
  <w:num w:numId="18" w16cid:durableId="1615554486">
    <w:abstractNumId w:val="148"/>
  </w:num>
  <w:num w:numId="19" w16cid:durableId="1488937538">
    <w:abstractNumId w:val="141"/>
  </w:num>
  <w:num w:numId="20" w16cid:durableId="577054873">
    <w:abstractNumId w:val="72"/>
  </w:num>
  <w:num w:numId="21" w16cid:durableId="316887560">
    <w:abstractNumId w:val="125"/>
  </w:num>
  <w:num w:numId="22" w16cid:durableId="43218337">
    <w:abstractNumId w:val="8"/>
  </w:num>
  <w:num w:numId="23" w16cid:durableId="2118212690">
    <w:abstractNumId w:val="88"/>
  </w:num>
  <w:num w:numId="24" w16cid:durableId="1669213116">
    <w:abstractNumId w:val="80"/>
  </w:num>
  <w:num w:numId="25" w16cid:durableId="329677764">
    <w:abstractNumId w:val="74"/>
  </w:num>
  <w:num w:numId="26" w16cid:durableId="1978604798">
    <w:abstractNumId w:val="122"/>
  </w:num>
  <w:num w:numId="27" w16cid:durableId="628441731">
    <w:abstractNumId w:val="136"/>
  </w:num>
  <w:num w:numId="28" w16cid:durableId="14929102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149530">
    <w:abstractNumId w:val="68"/>
  </w:num>
  <w:num w:numId="30" w16cid:durableId="181425259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104402">
    <w:abstractNumId w:val="117"/>
  </w:num>
  <w:num w:numId="32" w16cid:durableId="525869849">
    <w:abstractNumId w:val="76"/>
  </w:num>
  <w:num w:numId="33" w16cid:durableId="129330477">
    <w:abstractNumId w:val="55"/>
  </w:num>
  <w:num w:numId="34" w16cid:durableId="554775676">
    <w:abstractNumId w:val="115"/>
  </w:num>
  <w:num w:numId="35" w16cid:durableId="1271740163">
    <w:abstractNumId w:val="151"/>
  </w:num>
  <w:num w:numId="36" w16cid:durableId="1891259862">
    <w:abstractNumId w:val="13"/>
  </w:num>
  <w:num w:numId="37" w16cid:durableId="1758021011">
    <w:abstractNumId w:val="85"/>
  </w:num>
  <w:num w:numId="38" w16cid:durableId="2100637985">
    <w:abstractNumId w:val="118"/>
  </w:num>
  <w:num w:numId="39" w16cid:durableId="1538929989">
    <w:abstractNumId w:val="75"/>
  </w:num>
  <w:num w:numId="40" w16cid:durableId="8681813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39071">
    <w:abstractNumId w:val="17"/>
  </w:num>
  <w:num w:numId="42" w16cid:durableId="839152931">
    <w:abstractNumId w:val="149"/>
  </w:num>
  <w:num w:numId="43" w16cid:durableId="1588466147">
    <w:abstractNumId w:val="119"/>
  </w:num>
  <w:num w:numId="44" w16cid:durableId="1257325587">
    <w:abstractNumId w:val="133"/>
  </w:num>
  <w:num w:numId="45" w16cid:durableId="987636689">
    <w:abstractNumId w:val="24"/>
  </w:num>
  <w:num w:numId="46" w16cid:durableId="33121185">
    <w:abstractNumId w:val="65"/>
  </w:num>
  <w:num w:numId="47" w16cid:durableId="76172319">
    <w:abstractNumId w:val="150"/>
  </w:num>
  <w:num w:numId="48" w16cid:durableId="1105805869">
    <w:abstractNumId w:val="3"/>
  </w:num>
  <w:num w:numId="49" w16cid:durableId="1126702650">
    <w:abstractNumId w:val="138"/>
  </w:num>
  <w:num w:numId="50" w16cid:durableId="1171023525">
    <w:abstractNumId w:val="113"/>
  </w:num>
  <w:num w:numId="51" w16cid:durableId="2105370843">
    <w:abstractNumId w:val="37"/>
  </w:num>
  <w:num w:numId="52" w16cid:durableId="1899438869">
    <w:abstractNumId w:val="56"/>
  </w:num>
  <w:num w:numId="53" w16cid:durableId="333800704">
    <w:abstractNumId w:val="6"/>
  </w:num>
  <w:num w:numId="54" w16cid:durableId="1744715822">
    <w:abstractNumId w:val="140"/>
  </w:num>
  <w:num w:numId="55" w16cid:durableId="680015549">
    <w:abstractNumId w:val="23"/>
  </w:num>
  <w:num w:numId="56" w16cid:durableId="1487434194">
    <w:abstractNumId w:val="143"/>
  </w:num>
  <w:num w:numId="57" w16cid:durableId="642079858">
    <w:abstractNumId w:val="93"/>
  </w:num>
  <w:num w:numId="58" w16cid:durableId="1367019318">
    <w:abstractNumId w:val="123"/>
  </w:num>
  <w:num w:numId="59" w16cid:durableId="1051542268">
    <w:abstractNumId w:val="105"/>
  </w:num>
  <w:num w:numId="60" w16cid:durableId="1320622674">
    <w:abstractNumId w:val="130"/>
  </w:num>
  <w:num w:numId="61" w16cid:durableId="636572614">
    <w:abstractNumId w:val="103"/>
  </w:num>
  <w:num w:numId="62" w16cid:durableId="127430571">
    <w:abstractNumId w:val="81"/>
  </w:num>
  <w:num w:numId="63" w16cid:durableId="395589897">
    <w:abstractNumId w:val="127"/>
  </w:num>
  <w:num w:numId="64" w16cid:durableId="1739329029">
    <w:abstractNumId w:val="108"/>
  </w:num>
  <w:num w:numId="65" w16cid:durableId="1651858588">
    <w:abstractNumId w:val="69"/>
  </w:num>
  <w:num w:numId="66" w16cid:durableId="1489705740">
    <w:abstractNumId w:val="144"/>
  </w:num>
  <w:num w:numId="67" w16cid:durableId="176774352">
    <w:abstractNumId w:val="121"/>
  </w:num>
  <w:num w:numId="68" w16cid:durableId="1111558752">
    <w:abstractNumId w:val="97"/>
  </w:num>
  <w:num w:numId="69" w16cid:durableId="977535486">
    <w:abstractNumId w:val="73"/>
  </w:num>
  <w:num w:numId="70" w16cid:durableId="100422234">
    <w:abstractNumId w:val="57"/>
  </w:num>
  <w:num w:numId="71" w16cid:durableId="687683488">
    <w:abstractNumId w:val="34"/>
  </w:num>
  <w:num w:numId="72" w16cid:durableId="751777295">
    <w:abstractNumId w:val="91"/>
  </w:num>
  <w:num w:numId="73" w16cid:durableId="1018044311">
    <w:abstractNumId w:val="78"/>
  </w:num>
  <w:num w:numId="74" w16cid:durableId="1923828239">
    <w:abstractNumId w:val="7"/>
  </w:num>
  <w:num w:numId="75" w16cid:durableId="189227627">
    <w:abstractNumId w:val="10"/>
  </w:num>
  <w:num w:numId="76" w16cid:durableId="505486624">
    <w:abstractNumId w:val="129"/>
  </w:num>
  <w:num w:numId="77" w16cid:durableId="3069832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400905">
    <w:abstractNumId w:val="63"/>
  </w:num>
  <w:num w:numId="79" w16cid:durableId="1401446345">
    <w:abstractNumId w:val="116"/>
  </w:num>
  <w:num w:numId="80" w16cid:durableId="369648769">
    <w:abstractNumId w:val="9"/>
  </w:num>
  <w:num w:numId="81" w16cid:durableId="1941840638">
    <w:abstractNumId w:val="128"/>
  </w:num>
  <w:num w:numId="82" w16cid:durableId="936593588">
    <w:abstractNumId w:val="62"/>
  </w:num>
  <w:num w:numId="83" w16cid:durableId="703091328">
    <w:abstractNumId w:val="104"/>
  </w:num>
  <w:num w:numId="84" w16cid:durableId="1917280136">
    <w:abstractNumId w:val="2"/>
  </w:num>
  <w:num w:numId="85" w16cid:durableId="1455714643">
    <w:abstractNumId w:val="147"/>
  </w:num>
  <w:num w:numId="86" w16cid:durableId="694886658">
    <w:abstractNumId w:val="101"/>
  </w:num>
  <w:num w:numId="87" w16cid:durableId="1079718912">
    <w:abstractNumId w:val="25"/>
  </w:num>
  <w:num w:numId="88" w16cid:durableId="213933197">
    <w:abstractNumId w:val="47"/>
  </w:num>
  <w:num w:numId="89" w16cid:durableId="665866488">
    <w:abstractNumId w:val="110"/>
  </w:num>
  <w:num w:numId="90" w16cid:durableId="1620910900">
    <w:abstractNumId w:val="28"/>
  </w:num>
  <w:num w:numId="91" w16cid:durableId="418872891">
    <w:abstractNumId w:val="0"/>
  </w:num>
  <w:num w:numId="92" w16cid:durableId="1142580845">
    <w:abstractNumId w:val="124"/>
  </w:num>
  <w:num w:numId="93" w16cid:durableId="18712576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901362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610203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44450479">
    <w:abstractNumId w:val="16"/>
  </w:num>
  <w:num w:numId="97" w16cid:durableId="1030954920">
    <w:abstractNumId w:val="27"/>
  </w:num>
  <w:num w:numId="98" w16cid:durableId="1536457950">
    <w:abstractNumId w:val="11"/>
  </w:num>
  <w:num w:numId="99" w16cid:durableId="267128573">
    <w:abstractNumId w:val="92"/>
  </w:num>
  <w:num w:numId="100" w16cid:durableId="15664534">
    <w:abstractNumId w:val="53"/>
  </w:num>
  <w:num w:numId="101" w16cid:durableId="1263294161">
    <w:abstractNumId w:val="89"/>
  </w:num>
  <w:num w:numId="102" w16cid:durableId="782261217">
    <w:abstractNumId w:val="43"/>
  </w:num>
  <w:num w:numId="103" w16cid:durableId="1665282613">
    <w:abstractNumId w:val="14"/>
  </w:num>
  <w:num w:numId="104" w16cid:durableId="1285233782">
    <w:abstractNumId w:val="120"/>
  </w:num>
  <w:num w:numId="105" w16cid:durableId="960651886">
    <w:abstractNumId w:val="102"/>
  </w:num>
  <w:num w:numId="106" w16cid:durableId="700669626">
    <w:abstractNumId w:val="67"/>
  </w:num>
  <w:num w:numId="107" w16cid:durableId="855271273">
    <w:abstractNumId w:val="152"/>
  </w:num>
  <w:num w:numId="108" w16cid:durableId="1327436406">
    <w:abstractNumId w:val="100"/>
  </w:num>
  <w:num w:numId="109" w16cid:durableId="824203587">
    <w:abstractNumId w:val="58"/>
  </w:num>
  <w:num w:numId="110" w16cid:durableId="1554779966">
    <w:abstractNumId w:val="96"/>
  </w:num>
  <w:num w:numId="111" w16cid:durableId="1163349649">
    <w:abstractNumId w:val="86"/>
  </w:num>
  <w:num w:numId="112" w16cid:durableId="1931623658">
    <w:abstractNumId w:val="12"/>
  </w:num>
  <w:num w:numId="113" w16cid:durableId="95027858">
    <w:abstractNumId w:val="49"/>
  </w:num>
  <w:num w:numId="114" w16cid:durableId="1400782352">
    <w:abstractNumId w:val="29"/>
  </w:num>
  <w:num w:numId="115" w16cid:durableId="799495682">
    <w:abstractNumId w:val="95"/>
  </w:num>
  <w:num w:numId="116" w16cid:durableId="1423454015">
    <w:abstractNumId w:val="59"/>
  </w:num>
  <w:num w:numId="117" w16cid:durableId="777792745">
    <w:abstractNumId w:val="126"/>
  </w:num>
  <w:num w:numId="118" w16cid:durableId="1679652295">
    <w:abstractNumId w:val="31"/>
  </w:num>
  <w:num w:numId="119" w16cid:durableId="1415130540">
    <w:abstractNumId w:val="66"/>
  </w:num>
  <w:num w:numId="120" w16cid:durableId="568805493">
    <w:abstractNumId w:val="145"/>
  </w:num>
  <w:num w:numId="121" w16cid:durableId="1795320218">
    <w:abstractNumId w:val="114"/>
  </w:num>
  <w:num w:numId="122" w16cid:durableId="537939824">
    <w:abstractNumId w:val="79"/>
  </w:num>
  <w:num w:numId="123" w16cid:durableId="1291665012">
    <w:abstractNumId w:val="48"/>
  </w:num>
  <w:num w:numId="124" w16cid:durableId="1448739593">
    <w:abstractNumId w:val="19"/>
  </w:num>
  <w:num w:numId="125" w16cid:durableId="1543590750">
    <w:abstractNumId w:val="134"/>
  </w:num>
  <w:num w:numId="126" w16cid:durableId="191312566">
    <w:abstractNumId w:val="54"/>
  </w:num>
  <w:num w:numId="127" w16cid:durableId="117190611">
    <w:abstractNumId w:val="132"/>
  </w:num>
  <w:num w:numId="128" w16cid:durableId="1208447662">
    <w:abstractNumId w:val="87"/>
  </w:num>
  <w:num w:numId="129" w16cid:durableId="2079010658">
    <w:abstractNumId w:val="22"/>
  </w:num>
  <w:num w:numId="130" w16cid:durableId="2061978919">
    <w:abstractNumId w:val="15"/>
  </w:num>
  <w:num w:numId="131" w16cid:durableId="1367219291">
    <w:abstractNumId w:val="33"/>
  </w:num>
  <w:num w:numId="132" w16cid:durableId="1695495504">
    <w:abstractNumId w:val="4"/>
  </w:num>
  <w:num w:numId="133" w16cid:durableId="325014805">
    <w:abstractNumId w:val="111"/>
  </w:num>
  <w:num w:numId="134" w16cid:durableId="1031147224">
    <w:abstractNumId w:val="39"/>
  </w:num>
  <w:num w:numId="135" w16cid:durableId="660278330">
    <w:abstractNumId w:val="94"/>
  </w:num>
  <w:num w:numId="136" w16cid:durableId="1146514366">
    <w:abstractNumId w:val="60"/>
  </w:num>
  <w:num w:numId="137" w16cid:durableId="926428925">
    <w:abstractNumId w:val="99"/>
  </w:num>
  <w:num w:numId="138" w16cid:durableId="2061703680">
    <w:abstractNumId w:val="41"/>
  </w:num>
  <w:num w:numId="139" w16cid:durableId="1574663550">
    <w:abstractNumId w:val="109"/>
  </w:num>
  <w:num w:numId="140" w16cid:durableId="627474216">
    <w:abstractNumId w:val="139"/>
  </w:num>
  <w:num w:numId="141" w16cid:durableId="540244150">
    <w:abstractNumId w:val="30"/>
  </w:num>
  <w:num w:numId="142" w16cid:durableId="361055963">
    <w:abstractNumId w:val="98"/>
  </w:num>
  <w:num w:numId="143" w16cid:durableId="656226433">
    <w:abstractNumId w:val="36"/>
  </w:num>
  <w:num w:numId="144" w16cid:durableId="478233056">
    <w:abstractNumId w:val="135"/>
  </w:num>
  <w:num w:numId="145" w16cid:durableId="133832638">
    <w:abstractNumId w:val="18"/>
  </w:num>
  <w:num w:numId="146" w16cid:durableId="310060298">
    <w:abstractNumId w:val="35"/>
  </w:num>
  <w:num w:numId="147" w16cid:durableId="1394352089">
    <w:abstractNumId w:val="71"/>
  </w:num>
  <w:num w:numId="148" w16cid:durableId="1107581876">
    <w:abstractNumId w:val="82"/>
  </w:num>
  <w:num w:numId="149" w16cid:durableId="1420253407">
    <w:abstractNumId w:val="61"/>
  </w:num>
  <w:num w:numId="150" w16cid:durableId="2111048568">
    <w:abstractNumId w:val="51"/>
  </w:num>
  <w:num w:numId="151" w16cid:durableId="1385178334">
    <w:abstractNumId w:val="42"/>
  </w:num>
  <w:num w:numId="152" w16cid:durableId="2108186587">
    <w:abstractNumId w:val="52"/>
  </w:num>
  <w:num w:numId="153" w16cid:durableId="468398562">
    <w:abstractNumId w:val="20"/>
  </w:num>
  <w:num w:numId="154" w16cid:durableId="1996760821">
    <w:abstractNumId w:val="77"/>
  </w:num>
  <w:num w:numId="155" w16cid:durableId="2029944671">
    <w:abstractNumId w:val="50"/>
  </w:num>
  <w:num w:numId="156" w16cid:durableId="776367235">
    <w:abstractNumId w:val="90"/>
  </w:num>
  <w:num w:numId="157" w16cid:durableId="1526947476">
    <w:abstractNumId w:val="137"/>
  </w:num>
  <w:num w:numId="158" w16cid:durableId="1694333380">
    <w:abstractNumId w:val="4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15C"/>
    <w:rsid w:val="00001993"/>
    <w:rsid w:val="000023BC"/>
    <w:rsid w:val="000063E5"/>
    <w:rsid w:val="000109F1"/>
    <w:rsid w:val="000123B9"/>
    <w:rsid w:val="00012893"/>
    <w:rsid w:val="00012F0C"/>
    <w:rsid w:val="000159B3"/>
    <w:rsid w:val="00016387"/>
    <w:rsid w:val="00020858"/>
    <w:rsid w:val="0002129A"/>
    <w:rsid w:val="00021CDA"/>
    <w:rsid w:val="000220F7"/>
    <w:rsid w:val="00022A9E"/>
    <w:rsid w:val="000237B8"/>
    <w:rsid w:val="00024D92"/>
    <w:rsid w:val="00030390"/>
    <w:rsid w:val="000304D2"/>
    <w:rsid w:val="00031837"/>
    <w:rsid w:val="00031864"/>
    <w:rsid w:val="00033D0C"/>
    <w:rsid w:val="000344C1"/>
    <w:rsid w:val="00034D96"/>
    <w:rsid w:val="00036AD2"/>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AE"/>
    <w:rsid w:val="00071884"/>
    <w:rsid w:val="00071EB5"/>
    <w:rsid w:val="00072EB8"/>
    <w:rsid w:val="0007421E"/>
    <w:rsid w:val="000764F0"/>
    <w:rsid w:val="00077A91"/>
    <w:rsid w:val="00077FDC"/>
    <w:rsid w:val="000834DC"/>
    <w:rsid w:val="00090764"/>
    <w:rsid w:val="00090F3F"/>
    <w:rsid w:val="00091B27"/>
    <w:rsid w:val="000932CC"/>
    <w:rsid w:val="0009504F"/>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565D"/>
    <w:rsid w:val="000D711B"/>
    <w:rsid w:val="000D7ACB"/>
    <w:rsid w:val="000D7C30"/>
    <w:rsid w:val="000E0324"/>
    <w:rsid w:val="000E1A2D"/>
    <w:rsid w:val="000E2FCD"/>
    <w:rsid w:val="000E3692"/>
    <w:rsid w:val="000E3B0E"/>
    <w:rsid w:val="000E4219"/>
    <w:rsid w:val="000E4A62"/>
    <w:rsid w:val="000E4E41"/>
    <w:rsid w:val="000E4EB1"/>
    <w:rsid w:val="000E5FE3"/>
    <w:rsid w:val="000E68C1"/>
    <w:rsid w:val="000F0452"/>
    <w:rsid w:val="000F1EB9"/>
    <w:rsid w:val="000F26AD"/>
    <w:rsid w:val="000F65CB"/>
    <w:rsid w:val="000F7B8B"/>
    <w:rsid w:val="00100F2F"/>
    <w:rsid w:val="00103EBB"/>
    <w:rsid w:val="0010558E"/>
    <w:rsid w:val="0010686A"/>
    <w:rsid w:val="00110C04"/>
    <w:rsid w:val="00110C80"/>
    <w:rsid w:val="00111661"/>
    <w:rsid w:val="00111726"/>
    <w:rsid w:val="001125C2"/>
    <w:rsid w:val="00112BD6"/>
    <w:rsid w:val="00113013"/>
    <w:rsid w:val="001132CC"/>
    <w:rsid w:val="00113E00"/>
    <w:rsid w:val="00115163"/>
    <w:rsid w:val="00117952"/>
    <w:rsid w:val="00122C80"/>
    <w:rsid w:val="00122FA1"/>
    <w:rsid w:val="0012378E"/>
    <w:rsid w:val="001266A4"/>
    <w:rsid w:val="00127CF3"/>
    <w:rsid w:val="001305AD"/>
    <w:rsid w:val="00131574"/>
    <w:rsid w:val="001332CF"/>
    <w:rsid w:val="001336E0"/>
    <w:rsid w:val="00133ADC"/>
    <w:rsid w:val="00134F5D"/>
    <w:rsid w:val="00136BEA"/>
    <w:rsid w:val="00136C72"/>
    <w:rsid w:val="00136ED8"/>
    <w:rsid w:val="001457AD"/>
    <w:rsid w:val="001459BF"/>
    <w:rsid w:val="001474F0"/>
    <w:rsid w:val="00147DBB"/>
    <w:rsid w:val="00150AC2"/>
    <w:rsid w:val="00153604"/>
    <w:rsid w:val="00154171"/>
    <w:rsid w:val="00155251"/>
    <w:rsid w:val="00156044"/>
    <w:rsid w:val="001607A5"/>
    <w:rsid w:val="001624D5"/>
    <w:rsid w:val="001625FD"/>
    <w:rsid w:val="00165006"/>
    <w:rsid w:val="001658EA"/>
    <w:rsid w:val="001660E0"/>
    <w:rsid w:val="001676A8"/>
    <w:rsid w:val="00170B38"/>
    <w:rsid w:val="00171060"/>
    <w:rsid w:val="00172484"/>
    <w:rsid w:val="0017376A"/>
    <w:rsid w:val="0017396F"/>
    <w:rsid w:val="00173D8F"/>
    <w:rsid w:val="0017428E"/>
    <w:rsid w:val="00175E38"/>
    <w:rsid w:val="0018150D"/>
    <w:rsid w:val="0018244B"/>
    <w:rsid w:val="0018567C"/>
    <w:rsid w:val="001900C8"/>
    <w:rsid w:val="00191106"/>
    <w:rsid w:val="00191E36"/>
    <w:rsid w:val="001922EA"/>
    <w:rsid w:val="00193889"/>
    <w:rsid w:val="001951AE"/>
    <w:rsid w:val="00196C9E"/>
    <w:rsid w:val="00196E18"/>
    <w:rsid w:val="001A1694"/>
    <w:rsid w:val="001A3736"/>
    <w:rsid w:val="001A3BEE"/>
    <w:rsid w:val="001A4846"/>
    <w:rsid w:val="001A4B3E"/>
    <w:rsid w:val="001A62B8"/>
    <w:rsid w:val="001A6D03"/>
    <w:rsid w:val="001A6DE8"/>
    <w:rsid w:val="001B315A"/>
    <w:rsid w:val="001B4D9E"/>
    <w:rsid w:val="001B5598"/>
    <w:rsid w:val="001B5655"/>
    <w:rsid w:val="001B67B4"/>
    <w:rsid w:val="001B6FED"/>
    <w:rsid w:val="001C0BD9"/>
    <w:rsid w:val="001C1481"/>
    <w:rsid w:val="001C2455"/>
    <w:rsid w:val="001C3AB5"/>
    <w:rsid w:val="001C56FB"/>
    <w:rsid w:val="001C5F15"/>
    <w:rsid w:val="001C7041"/>
    <w:rsid w:val="001D0397"/>
    <w:rsid w:val="001D0DFD"/>
    <w:rsid w:val="001D0F0C"/>
    <w:rsid w:val="001D1BF6"/>
    <w:rsid w:val="001D33F9"/>
    <w:rsid w:val="001D5A61"/>
    <w:rsid w:val="001D5FB4"/>
    <w:rsid w:val="001D6625"/>
    <w:rsid w:val="001D7753"/>
    <w:rsid w:val="001E1858"/>
    <w:rsid w:val="001E2709"/>
    <w:rsid w:val="001E2DA3"/>
    <w:rsid w:val="001E2EA7"/>
    <w:rsid w:val="001E3009"/>
    <w:rsid w:val="001E4BF6"/>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66F12"/>
    <w:rsid w:val="00266F85"/>
    <w:rsid w:val="00271949"/>
    <w:rsid w:val="002743A6"/>
    <w:rsid w:val="0027515B"/>
    <w:rsid w:val="00275B99"/>
    <w:rsid w:val="002760C8"/>
    <w:rsid w:val="0028170F"/>
    <w:rsid w:val="00282838"/>
    <w:rsid w:val="002836B7"/>
    <w:rsid w:val="00283F9F"/>
    <w:rsid w:val="0028441A"/>
    <w:rsid w:val="0028589E"/>
    <w:rsid w:val="00287D68"/>
    <w:rsid w:val="00290F81"/>
    <w:rsid w:val="002912F0"/>
    <w:rsid w:val="00291A4D"/>
    <w:rsid w:val="00292B16"/>
    <w:rsid w:val="00292F13"/>
    <w:rsid w:val="0029553C"/>
    <w:rsid w:val="00296C51"/>
    <w:rsid w:val="002A00AB"/>
    <w:rsid w:val="002A09EF"/>
    <w:rsid w:val="002A23A1"/>
    <w:rsid w:val="002A40DF"/>
    <w:rsid w:val="002A52AB"/>
    <w:rsid w:val="002A6CBA"/>
    <w:rsid w:val="002A7CBB"/>
    <w:rsid w:val="002B2980"/>
    <w:rsid w:val="002B31BA"/>
    <w:rsid w:val="002B389E"/>
    <w:rsid w:val="002B3C95"/>
    <w:rsid w:val="002B4C6D"/>
    <w:rsid w:val="002B629D"/>
    <w:rsid w:val="002B6870"/>
    <w:rsid w:val="002B6FAF"/>
    <w:rsid w:val="002B771F"/>
    <w:rsid w:val="002C2CC2"/>
    <w:rsid w:val="002C33B7"/>
    <w:rsid w:val="002C4441"/>
    <w:rsid w:val="002C4A5E"/>
    <w:rsid w:val="002C5E44"/>
    <w:rsid w:val="002C6A95"/>
    <w:rsid w:val="002C6D3B"/>
    <w:rsid w:val="002D0390"/>
    <w:rsid w:val="002D0A88"/>
    <w:rsid w:val="002D123D"/>
    <w:rsid w:val="002D2127"/>
    <w:rsid w:val="002D243F"/>
    <w:rsid w:val="002D3C5C"/>
    <w:rsid w:val="002D4FC0"/>
    <w:rsid w:val="002D6012"/>
    <w:rsid w:val="002D68DC"/>
    <w:rsid w:val="002D71DB"/>
    <w:rsid w:val="002E7318"/>
    <w:rsid w:val="002E7747"/>
    <w:rsid w:val="002F19F4"/>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63E1"/>
    <w:rsid w:val="003B7DA7"/>
    <w:rsid w:val="003C159D"/>
    <w:rsid w:val="003C3D86"/>
    <w:rsid w:val="003C4100"/>
    <w:rsid w:val="003C68BE"/>
    <w:rsid w:val="003D2473"/>
    <w:rsid w:val="003D2575"/>
    <w:rsid w:val="003D7B0E"/>
    <w:rsid w:val="003E2E6B"/>
    <w:rsid w:val="003E40B4"/>
    <w:rsid w:val="003E4749"/>
    <w:rsid w:val="003E5226"/>
    <w:rsid w:val="003E6D7B"/>
    <w:rsid w:val="003E733F"/>
    <w:rsid w:val="003E75FC"/>
    <w:rsid w:val="003F0239"/>
    <w:rsid w:val="003F03C7"/>
    <w:rsid w:val="003F1169"/>
    <w:rsid w:val="003F3A82"/>
    <w:rsid w:val="003F43D9"/>
    <w:rsid w:val="004001EB"/>
    <w:rsid w:val="00401131"/>
    <w:rsid w:val="00404C2B"/>
    <w:rsid w:val="00406030"/>
    <w:rsid w:val="00406046"/>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081D"/>
    <w:rsid w:val="00431A02"/>
    <w:rsid w:val="004333B0"/>
    <w:rsid w:val="004345BF"/>
    <w:rsid w:val="00434817"/>
    <w:rsid w:val="00437831"/>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F14A1"/>
    <w:rsid w:val="004F2BD2"/>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13C5"/>
    <w:rsid w:val="0051192B"/>
    <w:rsid w:val="0051291D"/>
    <w:rsid w:val="005135FE"/>
    <w:rsid w:val="005137BB"/>
    <w:rsid w:val="0051417D"/>
    <w:rsid w:val="0051507F"/>
    <w:rsid w:val="005151DA"/>
    <w:rsid w:val="0051759C"/>
    <w:rsid w:val="00520685"/>
    <w:rsid w:val="00520ED9"/>
    <w:rsid w:val="00523DBE"/>
    <w:rsid w:val="0052759E"/>
    <w:rsid w:val="005307C1"/>
    <w:rsid w:val="00533181"/>
    <w:rsid w:val="0053335C"/>
    <w:rsid w:val="00533B83"/>
    <w:rsid w:val="005344C2"/>
    <w:rsid w:val="00534BBE"/>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51A4"/>
    <w:rsid w:val="005661BE"/>
    <w:rsid w:val="005664F8"/>
    <w:rsid w:val="005705E5"/>
    <w:rsid w:val="00570DB1"/>
    <w:rsid w:val="0057672A"/>
    <w:rsid w:val="00582996"/>
    <w:rsid w:val="00583716"/>
    <w:rsid w:val="0058799D"/>
    <w:rsid w:val="00587AE2"/>
    <w:rsid w:val="005913DB"/>
    <w:rsid w:val="00591A4D"/>
    <w:rsid w:val="00591EEA"/>
    <w:rsid w:val="00593290"/>
    <w:rsid w:val="00595014"/>
    <w:rsid w:val="00596405"/>
    <w:rsid w:val="005967C0"/>
    <w:rsid w:val="00596E15"/>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167A"/>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0B7"/>
    <w:rsid w:val="0062300A"/>
    <w:rsid w:val="00623614"/>
    <w:rsid w:val="0062363A"/>
    <w:rsid w:val="00626460"/>
    <w:rsid w:val="0063158C"/>
    <w:rsid w:val="00631BF3"/>
    <w:rsid w:val="00637051"/>
    <w:rsid w:val="0064066B"/>
    <w:rsid w:val="006417DB"/>
    <w:rsid w:val="006439F4"/>
    <w:rsid w:val="00644A59"/>
    <w:rsid w:val="00644F56"/>
    <w:rsid w:val="00645E18"/>
    <w:rsid w:val="00646E41"/>
    <w:rsid w:val="00650711"/>
    <w:rsid w:val="00650E79"/>
    <w:rsid w:val="00654B3D"/>
    <w:rsid w:val="00655CA4"/>
    <w:rsid w:val="00657190"/>
    <w:rsid w:val="006573BD"/>
    <w:rsid w:val="006620AE"/>
    <w:rsid w:val="00671FD4"/>
    <w:rsid w:val="00673E38"/>
    <w:rsid w:val="00674434"/>
    <w:rsid w:val="0067519A"/>
    <w:rsid w:val="00675261"/>
    <w:rsid w:val="00675352"/>
    <w:rsid w:val="006758F3"/>
    <w:rsid w:val="00677DAE"/>
    <w:rsid w:val="00683D53"/>
    <w:rsid w:val="006860E0"/>
    <w:rsid w:val="00686E2C"/>
    <w:rsid w:val="0069046A"/>
    <w:rsid w:val="006908CC"/>
    <w:rsid w:val="006917DE"/>
    <w:rsid w:val="00691F60"/>
    <w:rsid w:val="0069214B"/>
    <w:rsid w:val="00692BA2"/>
    <w:rsid w:val="0069479D"/>
    <w:rsid w:val="006969D8"/>
    <w:rsid w:val="00696B94"/>
    <w:rsid w:val="006A139A"/>
    <w:rsid w:val="006A1FAE"/>
    <w:rsid w:val="006A2C9D"/>
    <w:rsid w:val="006A30C9"/>
    <w:rsid w:val="006A4948"/>
    <w:rsid w:val="006A4A98"/>
    <w:rsid w:val="006A6570"/>
    <w:rsid w:val="006A7AB7"/>
    <w:rsid w:val="006B0F72"/>
    <w:rsid w:val="006B1DA5"/>
    <w:rsid w:val="006B352A"/>
    <w:rsid w:val="006B4A1D"/>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53E1"/>
    <w:rsid w:val="006E6A90"/>
    <w:rsid w:val="006F09BB"/>
    <w:rsid w:val="006F3F97"/>
    <w:rsid w:val="006F4E76"/>
    <w:rsid w:val="006F6A2E"/>
    <w:rsid w:val="007018FE"/>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884"/>
    <w:rsid w:val="00734D1E"/>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7AD2"/>
    <w:rsid w:val="007F7C1B"/>
    <w:rsid w:val="007F7F31"/>
    <w:rsid w:val="0080123B"/>
    <w:rsid w:val="00803DC6"/>
    <w:rsid w:val="00804106"/>
    <w:rsid w:val="008047AE"/>
    <w:rsid w:val="00805392"/>
    <w:rsid w:val="00806741"/>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4CB8"/>
    <w:rsid w:val="0085509B"/>
    <w:rsid w:val="008555F0"/>
    <w:rsid w:val="00860A9C"/>
    <w:rsid w:val="00861A1B"/>
    <w:rsid w:val="00862ABE"/>
    <w:rsid w:val="00863116"/>
    <w:rsid w:val="00863F96"/>
    <w:rsid w:val="0086646D"/>
    <w:rsid w:val="00871246"/>
    <w:rsid w:val="008720EF"/>
    <w:rsid w:val="00872AF2"/>
    <w:rsid w:val="0087392E"/>
    <w:rsid w:val="00873FA8"/>
    <w:rsid w:val="00874767"/>
    <w:rsid w:val="00876074"/>
    <w:rsid w:val="00876507"/>
    <w:rsid w:val="00877073"/>
    <w:rsid w:val="00877152"/>
    <w:rsid w:val="00880012"/>
    <w:rsid w:val="00881E4E"/>
    <w:rsid w:val="0088380E"/>
    <w:rsid w:val="008838CA"/>
    <w:rsid w:val="008859D3"/>
    <w:rsid w:val="00890128"/>
    <w:rsid w:val="0089096B"/>
    <w:rsid w:val="00891867"/>
    <w:rsid w:val="00892036"/>
    <w:rsid w:val="00893ACD"/>
    <w:rsid w:val="0089418E"/>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72D"/>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38A5"/>
    <w:rsid w:val="00934F17"/>
    <w:rsid w:val="009356E5"/>
    <w:rsid w:val="00935AF9"/>
    <w:rsid w:val="009365E2"/>
    <w:rsid w:val="00940226"/>
    <w:rsid w:val="00942507"/>
    <w:rsid w:val="00943B06"/>
    <w:rsid w:val="00944AB6"/>
    <w:rsid w:val="00946D1D"/>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1E99"/>
    <w:rsid w:val="00A35276"/>
    <w:rsid w:val="00A35C0F"/>
    <w:rsid w:val="00A35D62"/>
    <w:rsid w:val="00A41A4D"/>
    <w:rsid w:val="00A46459"/>
    <w:rsid w:val="00A465B8"/>
    <w:rsid w:val="00A46BC3"/>
    <w:rsid w:val="00A474F9"/>
    <w:rsid w:val="00A504FF"/>
    <w:rsid w:val="00A51B66"/>
    <w:rsid w:val="00A54E3E"/>
    <w:rsid w:val="00A61BF6"/>
    <w:rsid w:val="00A6256D"/>
    <w:rsid w:val="00A6375C"/>
    <w:rsid w:val="00A66213"/>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87FE2"/>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221"/>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5262"/>
    <w:rsid w:val="00AF2057"/>
    <w:rsid w:val="00AF2F69"/>
    <w:rsid w:val="00AF3005"/>
    <w:rsid w:val="00AF3157"/>
    <w:rsid w:val="00AF45BB"/>
    <w:rsid w:val="00AF6868"/>
    <w:rsid w:val="00B04513"/>
    <w:rsid w:val="00B053FF"/>
    <w:rsid w:val="00B05668"/>
    <w:rsid w:val="00B108FF"/>
    <w:rsid w:val="00B10996"/>
    <w:rsid w:val="00B11CA3"/>
    <w:rsid w:val="00B13198"/>
    <w:rsid w:val="00B141A3"/>
    <w:rsid w:val="00B152D1"/>
    <w:rsid w:val="00B20917"/>
    <w:rsid w:val="00B215F6"/>
    <w:rsid w:val="00B2497C"/>
    <w:rsid w:val="00B24FE2"/>
    <w:rsid w:val="00B31A38"/>
    <w:rsid w:val="00B32799"/>
    <w:rsid w:val="00B358B2"/>
    <w:rsid w:val="00B36D5E"/>
    <w:rsid w:val="00B36E8C"/>
    <w:rsid w:val="00B37849"/>
    <w:rsid w:val="00B40CFC"/>
    <w:rsid w:val="00B428A1"/>
    <w:rsid w:val="00B434A0"/>
    <w:rsid w:val="00B436EE"/>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851"/>
    <w:rsid w:val="00BA1B85"/>
    <w:rsid w:val="00BA1F5B"/>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320B"/>
    <w:rsid w:val="00C55B7D"/>
    <w:rsid w:val="00C566F7"/>
    <w:rsid w:val="00C57F53"/>
    <w:rsid w:val="00C622F1"/>
    <w:rsid w:val="00C63190"/>
    <w:rsid w:val="00C63CF6"/>
    <w:rsid w:val="00C64A9B"/>
    <w:rsid w:val="00C65DF3"/>
    <w:rsid w:val="00C662EF"/>
    <w:rsid w:val="00C73FDB"/>
    <w:rsid w:val="00C74406"/>
    <w:rsid w:val="00C76C26"/>
    <w:rsid w:val="00C80260"/>
    <w:rsid w:val="00C80466"/>
    <w:rsid w:val="00C83696"/>
    <w:rsid w:val="00C83962"/>
    <w:rsid w:val="00C83BA5"/>
    <w:rsid w:val="00C83FD2"/>
    <w:rsid w:val="00C8587B"/>
    <w:rsid w:val="00C91237"/>
    <w:rsid w:val="00C923F3"/>
    <w:rsid w:val="00C9313F"/>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5F3"/>
    <w:rsid w:val="00D119A5"/>
    <w:rsid w:val="00D11B75"/>
    <w:rsid w:val="00D12D28"/>
    <w:rsid w:val="00D1366D"/>
    <w:rsid w:val="00D14C64"/>
    <w:rsid w:val="00D15187"/>
    <w:rsid w:val="00D160E9"/>
    <w:rsid w:val="00D1691B"/>
    <w:rsid w:val="00D171B0"/>
    <w:rsid w:val="00D207C5"/>
    <w:rsid w:val="00D21D14"/>
    <w:rsid w:val="00D225DC"/>
    <w:rsid w:val="00D22C89"/>
    <w:rsid w:val="00D22DC2"/>
    <w:rsid w:val="00D23572"/>
    <w:rsid w:val="00D27489"/>
    <w:rsid w:val="00D30665"/>
    <w:rsid w:val="00D37554"/>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74CD"/>
    <w:rsid w:val="00D879EF"/>
    <w:rsid w:val="00D921F9"/>
    <w:rsid w:val="00D926DA"/>
    <w:rsid w:val="00D93198"/>
    <w:rsid w:val="00D94006"/>
    <w:rsid w:val="00D94E81"/>
    <w:rsid w:val="00D95921"/>
    <w:rsid w:val="00D95CB4"/>
    <w:rsid w:val="00DA0210"/>
    <w:rsid w:val="00DA49C4"/>
    <w:rsid w:val="00DA713E"/>
    <w:rsid w:val="00DB0733"/>
    <w:rsid w:val="00DB303A"/>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00B"/>
    <w:rsid w:val="00E4513E"/>
    <w:rsid w:val="00E46534"/>
    <w:rsid w:val="00E46E48"/>
    <w:rsid w:val="00E52A7D"/>
    <w:rsid w:val="00E539C0"/>
    <w:rsid w:val="00E5407C"/>
    <w:rsid w:val="00E5505B"/>
    <w:rsid w:val="00E55688"/>
    <w:rsid w:val="00E60782"/>
    <w:rsid w:val="00E617C5"/>
    <w:rsid w:val="00E657A3"/>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747"/>
    <w:rsid w:val="00EA525D"/>
    <w:rsid w:val="00EA70FE"/>
    <w:rsid w:val="00EB0BE5"/>
    <w:rsid w:val="00EB0F50"/>
    <w:rsid w:val="00EB157A"/>
    <w:rsid w:val="00EB30A4"/>
    <w:rsid w:val="00EB331A"/>
    <w:rsid w:val="00EB3E8E"/>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5D91"/>
    <w:rsid w:val="00EF7A7E"/>
    <w:rsid w:val="00F0277B"/>
    <w:rsid w:val="00F027CD"/>
    <w:rsid w:val="00F02BCF"/>
    <w:rsid w:val="00F052A1"/>
    <w:rsid w:val="00F10430"/>
    <w:rsid w:val="00F11582"/>
    <w:rsid w:val="00F11C02"/>
    <w:rsid w:val="00F126C7"/>
    <w:rsid w:val="00F139F4"/>
    <w:rsid w:val="00F14388"/>
    <w:rsid w:val="00F15BBD"/>
    <w:rsid w:val="00F15D21"/>
    <w:rsid w:val="00F16CB9"/>
    <w:rsid w:val="00F215A0"/>
    <w:rsid w:val="00F22560"/>
    <w:rsid w:val="00F241CB"/>
    <w:rsid w:val="00F24314"/>
    <w:rsid w:val="00F25CAD"/>
    <w:rsid w:val="00F26C09"/>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B0B"/>
    <w:rsid w:val="00F639CB"/>
    <w:rsid w:val="00F63FB2"/>
    <w:rsid w:val="00F6640F"/>
    <w:rsid w:val="00F67811"/>
    <w:rsid w:val="00F743A6"/>
    <w:rsid w:val="00F75330"/>
    <w:rsid w:val="00F81015"/>
    <w:rsid w:val="00F81D84"/>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uiPriority w:val="1"/>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pl" TargetMode="External"/><Relationship Id="rId18" Type="http://schemas.openxmlformats.org/officeDocument/2006/relationships/hyperlink" Target="mailto:kancelaria@podlaskie.eu"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image" Target="media/image1.png"/><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iod@podlaskie.eu" TargetMode="External"/><Relationship Id="rId29" Type="http://schemas.openxmlformats.org/officeDocument/2006/relationships/hyperlink" Target="https://www.funduszeeuropejskie.gov.pl/strony/o-funduszach/fundusze-2021-2027/prawo-i-dokumenty/zasady-komunikacj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3.jpeg"/><Relationship Id="rId28" Type="http://schemas.openxmlformats.org/officeDocument/2006/relationships/hyperlink" Target="https://funduszeuepodlaskie.pl/poradnik-realizuje-projekt/poznaj-zasady-informowania-o-projekcie/" TargetMode="External"/><Relationship Id="rId10" Type="http://schemas.openxmlformats.org/officeDocument/2006/relationships/hyperlink" Target="mailto:funduszeUE@podlaskie.eu" TargetMode="External"/><Relationship Id="rId19" Type="http://schemas.openxmlformats.org/officeDocument/2006/relationships/hyperlink" Target="http://www.bip.podlaskie.e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http://www.mapadotacji.gov.pl" TargetMode="External"/><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AB8-199B-46DE-AFA5-8B65CFB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22575</Words>
  <Characters>135456</Characters>
  <Application>Microsoft Office Word</Application>
  <DocSecurity>0</DocSecurity>
  <Lines>1128</Lines>
  <Paragraphs>315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DWRR</cp:lastModifiedBy>
  <cp:revision>17</cp:revision>
  <cp:lastPrinted>2023-05-10T07:59:00Z</cp:lastPrinted>
  <dcterms:created xsi:type="dcterms:W3CDTF">2024-03-25T09:02:00Z</dcterms:created>
  <dcterms:modified xsi:type="dcterms:W3CDTF">2026-01-15T11:26:00Z</dcterms:modified>
</cp:coreProperties>
</file>