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38CB" w14:textId="77777777" w:rsidR="002D7E22" w:rsidRDefault="002D7E22" w:rsidP="00736F05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2964A116" w14:textId="77777777" w:rsidR="00C55745" w:rsidRPr="00D26B8F" w:rsidRDefault="00C55745" w:rsidP="00736F05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595F1695" w14:textId="77777777" w:rsidR="002D7E22" w:rsidRPr="00D26B8F" w:rsidRDefault="002D7E22" w:rsidP="00736F05">
      <w:pPr>
        <w:pStyle w:val="Default"/>
        <w:tabs>
          <w:tab w:val="left" w:pos="3544"/>
        </w:tabs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638029F3" w14:textId="77777777" w:rsidR="00577E4C" w:rsidRPr="00D26B8F" w:rsidRDefault="00577E4C" w:rsidP="00736F05">
      <w:pPr>
        <w:pStyle w:val="Default"/>
        <w:spacing w:beforeLines="60" w:before="144" w:afterLines="60" w:after="144"/>
        <w:rPr>
          <w:rFonts w:ascii="Arial" w:hAnsi="Arial" w:cs="Arial"/>
          <w:color w:val="auto"/>
          <w:szCs w:val="22"/>
        </w:rPr>
      </w:pPr>
    </w:p>
    <w:p w14:paraId="46D62FB6" w14:textId="48469F4A" w:rsidR="00577E4C" w:rsidRPr="00D26B8F" w:rsidRDefault="00204732" w:rsidP="00736F05">
      <w:pPr>
        <w:pStyle w:val="Default"/>
        <w:spacing w:beforeLines="60" w:before="144" w:afterLines="60" w:after="144"/>
        <w:rPr>
          <w:rFonts w:ascii="Arial" w:hAnsi="Arial" w:cs="Arial"/>
          <w:b/>
          <w:bCs/>
          <w:color w:val="auto"/>
          <w:sz w:val="24"/>
        </w:rPr>
      </w:pPr>
      <w:r>
        <w:rPr>
          <w:rFonts w:ascii="Arial" w:hAnsi="Arial" w:cs="Arial"/>
          <w:b/>
          <w:bCs/>
          <w:color w:val="auto"/>
          <w:sz w:val="24"/>
        </w:rPr>
        <w:t>WZÓR</w:t>
      </w:r>
      <w:r w:rsidR="002D7E22" w:rsidRPr="00D26B8F">
        <w:rPr>
          <w:rFonts w:ascii="Arial" w:hAnsi="Arial" w:cs="Arial"/>
          <w:b/>
          <w:bCs/>
          <w:color w:val="auto"/>
          <w:sz w:val="24"/>
        </w:rPr>
        <w:t xml:space="preserve"> STUDIUM WYKONALNOŚCI</w:t>
      </w:r>
    </w:p>
    <w:p w14:paraId="14C1806A" w14:textId="77777777" w:rsidR="002D7E22" w:rsidRPr="00D26B8F" w:rsidRDefault="002D7E22" w:rsidP="00736F05">
      <w:pPr>
        <w:pStyle w:val="Default"/>
        <w:spacing w:beforeLines="60" w:before="144" w:afterLines="60" w:after="144"/>
        <w:rPr>
          <w:rFonts w:ascii="Arial" w:hAnsi="Arial" w:cs="Arial"/>
          <w:b/>
          <w:bCs/>
          <w:color w:val="auto"/>
          <w:szCs w:val="22"/>
        </w:rPr>
      </w:pPr>
    </w:p>
    <w:p w14:paraId="0FF6A498" w14:textId="77777777" w:rsidR="0088288A" w:rsidRPr="00D26B8F" w:rsidRDefault="0088288A" w:rsidP="00736F05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88288A" w:rsidRPr="00D26B8F" w14:paraId="6952530F" w14:textId="77777777" w:rsidTr="00773EDF">
        <w:trPr>
          <w:trHeight w:val="4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28E" w14:textId="77777777" w:rsidR="0088288A" w:rsidRPr="0036456E" w:rsidRDefault="0088288A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bookmarkStart w:id="0" w:name="_Hlk179290189"/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>Program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5211" w14:textId="77777777" w:rsidR="0088288A" w:rsidRPr="0036456E" w:rsidRDefault="0088288A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Cs/>
                <w:color w:val="auto"/>
                <w:sz w:val="24"/>
              </w:rPr>
              <w:t>Fundusze Europejskie dla Podlaskiego 2021-2027</w:t>
            </w:r>
          </w:p>
        </w:tc>
      </w:tr>
      <w:tr w:rsidR="00F108BC" w:rsidRPr="00D26B8F" w14:paraId="61DE722A" w14:textId="77777777" w:rsidTr="0036456E">
        <w:trPr>
          <w:trHeight w:val="5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9ACF" w14:textId="77777777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>Priorytet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CCE" w14:textId="2C408B4A" w:rsidR="00F108BC" w:rsidRPr="0036456E" w:rsidRDefault="00F41FA0" w:rsidP="0036456E">
            <w:pPr>
              <w:rPr>
                <w:rFonts w:ascii="Arial" w:hAnsi="Arial" w:cs="Arial"/>
                <w:sz w:val="24"/>
                <w:szCs w:val="24"/>
              </w:rPr>
            </w:pPr>
            <w:r w:rsidRPr="0036456E">
              <w:rPr>
                <w:rFonts w:ascii="Arial" w:hAnsi="Arial" w:cs="Arial"/>
                <w:sz w:val="24"/>
                <w:szCs w:val="24"/>
              </w:rPr>
              <w:t>Priorytet VI: Zrównoważona mobilność miejska</w:t>
            </w:r>
          </w:p>
        </w:tc>
      </w:tr>
      <w:tr w:rsidR="00F108BC" w:rsidRPr="00D26B8F" w14:paraId="5F9F0D52" w14:textId="77777777" w:rsidTr="00773EDF">
        <w:trPr>
          <w:trHeight w:val="4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0090" w14:textId="77777777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>Działanie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C331" w14:textId="55435E92" w:rsidR="00F41FA0" w:rsidRPr="0036456E" w:rsidRDefault="00F41FA0" w:rsidP="0036456E">
            <w:pPr>
              <w:rPr>
                <w:rFonts w:ascii="Arial" w:hAnsi="Arial" w:cs="Arial"/>
                <w:sz w:val="24"/>
                <w:szCs w:val="24"/>
              </w:rPr>
            </w:pPr>
            <w:r w:rsidRPr="0036456E">
              <w:rPr>
                <w:rFonts w:ascii="Arial" w:hAnsi="Arial" w:cs="Arial"/>
                <w:sz w:val="24"/>
                <w:szCs w:val="24"/>
              </w:rPr>
              <w:t>Działanie 06.0</w:t>
            </w:r>
            <w:r w:rsidR="006A1319">
              <w:rPr>
                <w:rFonts w:ascii="Arial" w:hAnsi="Arial" w:cs="Arial"/>
                <w:sz w:val="24"/>
                <w:szCs w:val="24"/>
              </w:rPr>
              <w:t>2</w:t>
            </w:r>
            <w:r w:rsidRPr="003645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319">
              <w:rPr>
                <w:rFonts w:ascii="Arial" w:hAnsi="Arial" w:cs="Arial"/>
                <w:sz w:val="24"/>
                <w:szCs w:val="24"/>
              </w:rPr>
              <w:t>Zintegrowana terytorialnie m</w:t>
            </w:r>
            <w:r w:rsidRPr="0036456E">
              <w:rPr>
                <w:rFonts w:ascii="Arial" w:hAnsi="Arial" w:cs="Arial"/>
                <w:sz w:val="24"/>
                <w:szCs w:val="24"/>
              </w:rPr>
              <w:t>obilność miejska</w:t>
            </w:r>
            <w:r w:rsidRPr="0036456E" w:rsidDel="009619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6D50A1" w14:textId="4D2F6AF8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 w:val="24"/>
              </w:rPr>
            </w:pPr>
          </w:p>
        </w:tc>
      </w:tr>
      <w:tr w:rsidR="00F108BC" w:rsidRPr="00D26B8F" w14:paraId="075A3365" w14:textId="77777777" w:rsidTr="008828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DB94" w14:textId="77777777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>Typ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7D8C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bookmarkStart w:id="1" w:name="_Hlk160626298"/>
            <w:r w:rsidRPr="0036456E">
              <w:rPr>
                <w:rFonts w:ascii="Arial" w:hAnsi="Arial" w:cs="Arial"/>
                <w:iCs/>
                <w:sz w:val="24"/>
                <w:szCs w:val="24"/>
              </w:rPr>
              <w:t xml:space="preserve">Zakup, modernizacja niskoemisyjnego i </w:t>
            </w:r>
            <w:proofErr w:type="spellStart"/>
            <w:r w:rsidRPr="0036456E">
              <w:rPr>
                <w:rFonts w:ascii="Arial" w:hAnsi="Arial" w:cs="Arial"/>
                <w:iCs/>
                <w:sz w:val="24"/>
                <w:szCs w:val="24"/>
              </w:rPr>
              <w:t>bezemisyjnego</w:t>
            </w:r>
            <w:proofErr w:type="spellEnd"/>
            <w:r w:rsidRPr="0036456E">
              <w:rPr>
                <w:rFonts w:ascii="Arial" w:hAnsi="Arial" w:cs="Arial"/>
                <w:iCs/>
                <w:sz w:val="24"/>
                <w:szCs w:val="24"/>
              </w:rPr>
              <w:t xml:space="preserve"> taboru na potrzeby transportu publicznego. </w:t>
            </w:r>
          </w:p>
          <w:p w14:paraId="2E5C2CEA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r w:rsidRPr="0036456E">
              <w:rPr>
                <w:rFonts w:ascii="Arial" w:hAnsi="Arial" w:cs="Arial"/>
                <w:iCs/>
                <w:sz w:val="24"/>
                <w:szCs w:val="24"/>
              </w:rPr>
              <w:t xml:space="preserve">Budowa instalacji do dystrybucji nośników energii dla </w:t>
            </w:r>
            <w:proofErr w:type="spellStart"/>
            <w:r w:rsidRPr="0036456E">
              <w:rPr>
                <w:rFonts w:ascii="Arial" w:hAnsi="Arial" w:cs="Arial"/>
                <w:iCs/>
                <w:sz w:val="24"/>
                <w:szCs w:val="24"/>
              </w:rPr>
              <w:t>bezemisyjnego</w:t>
            </w:r>
            <w:proofErr w:type="spellEnd"/>
            <w:r w:rsidRPr="0036456E">
              <w:rPr>
                <w:rFonts w:ascii="Arial" w:hAnsi="Arial" w:cs="Arial"/>
                <w:iCs/>
                <w:sz w:val="24"/>
                <w:szCs w:val="24"/>
              </w:rPr>
              <w:t xml:space="preserve"> transportu.</w:t>
            </w:r>
          </w:p>
          <w:p w14:paraId="2133EAAC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r w:rsidRPr="0036456E">
              <w:rPr>
                <w:rFonts w:ascii="Arial" w:hAnsi="Arial" w:cs="Arial"/>
                <w:iCs/>
                <w:sz w:val="24"/>
                <w:szCs w:val="24"/>
              </w:rPr>
              <w:t>Wyposażenie dróg/ulic w infrastrukturę służącą obsłudze transportu publicznego oraz pasażerów.</w:t>
            </w:r>
          </w:p>
          <w:p w14:paraId="5FBE7DE8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r w:rsidRPr="0036456E">
              <w:rPr>
                <w:rFonts w:ascii="Arial" w:hAnsi="Arial" w:cs="Arial"/>
                <w:iCs/>
                <w:sz w:val="24"/>
                <w:szCs w:val="24"/>
              </w:rPr>
              <w:t>Budowa, przebudowa, rozbudowa liniowej i punktowej infrastruktury transportu publicznego i niezmotoryzowanego.</w:t>
            </w:r>
          </w:p>
          <w:p w14:paraId="29F11AAE" w14:textId="77777777" w:rsidR="00F41FA0" w:rsidRPr="0036456E" w:rsidRDefault="00F41FA0" w:rsidP="0036456E">
            <w:pPr>
              <w:numPr>
                <w:ilvl w:val="0"/>
                <w:numId w:val="41"/>
              </w:numPr>
              <w:suppressAutoHyphens/>
              <w:spacing w:after="0" w:line="240" w:lineRule="auto"/>
              <w:ind w:left="316" w:hanging="283"/>
              <w:rPr>
                <w:rFonts w:ascii="Arial" w:hAnsi="Arial" w:cs="Arial"/>
                <w:iCs/>
                <w:sz w:val="24"/>
                <w:szCs w:val="24"/>
              </w:rPr>
            </w:pPr>
            <w:r w:rsidRPr="0036456E">
              <w:rPr>
                <w:rFonts w:ascii="Arial" w:hAnsi="Arial" w:cs="Arial"/>
                <w:iCs/>
                <w:sz w:val="24"/>
                <w:szCs w:val="24"/>
              </w:rPr>
              <w:t>Inteligentne Systemy Transportowe.</w:t>
            </w:r>
          </w:p>
          <w:bookmarkEnd w:id="1"/>
          <w:p w14:paraId="12106A7A" w14:textId="5A992EF3" w:rsidR="00F108BC" w:rsidRPr="0036456E" w:rsidRDefault="00F108BC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08BC" w:rsidRPr="00D26B8F" w14:paraId="7C9B787C" w14:textId="77777777" w:rsidTr="00773EDF">
        <w:trPr>
          <w:trHeight w:val="5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99F8" w14:textId="77777777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/>
                <w:bCs/>
                <w:color w:val="auto"/>
                <w:sz w:val="24"/>
              </w:rPr>
              <w:t xml:space="preserve">Nabór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BD32" w14:textId="148FFD6E" w:rsidR="00F108BC" w:rsidRPr="0036456E" w:rsidRDefault="00F108BC" w:rsidP="00736F05">
            <w:pPr>
              <w:pStyle w:val="Default"/>
              <w:spacing w:beforeLines="60" w:before="144" w:afterLines="60" w:after="144"/>
              <w:rPr>
                <w:rFonts w:ascii="Arial" w:hAnsi="Arial" w:cs="Arial"/>
                <w:bCs/>
                <w:color w:val="auto"/>
                <w:sz w:val="24"/>
              </w:rPr>
            </w:pPr>
            <w:r w:rsidRPr="0036456E">
              <w:rPr>
                <w:rFonts w:ascii="Arial" w:hAnsi="Arial" w:cs="Arial"/>
                <w:bCs/>
                <w:color w:val="auto"/>
                <w:sz w:val="24"/>
              </w:rPr>
              <w:t>FEPD.0</w:t>
            </w:r>
            <w:r w:rsidR="00F41FA0" w:rsidRPr="0036456E">
              <w:rPr>
                <w:rFonts w:ascii="Arial" w:hAnsi="Arial" w:cs="Arial"/>
                <w:bCs/>
                <w:color w:val="auto"/>
                <w:sz w:val="24"/>
              </w:rPr>
              <w:t>6</w:t>
            </w:r>
            <w:r w:rsidRPr="0036456E">
              <w:rPr>
                <w:rFonts w:ascii="Arial" w:hAnsi="Arial" w:cs="Arial"/>
                <w:bCs/>
                <w:color w:val="auto"/>
                <w:sz w:val="24"/>
              </w:rPr>
              <w:t>.</w:t>
            </w:r>
            <w:r w:rsidR="00FF6415" w:rsidRPr="0036456E">
              <w:rPr>
                <w:rFonts w:ascii="Arial" w:hAnsi="Arial" w:cs="Arial"/>
                <w:bCs/>
                <w:color w:val="auto"/>
                <w:sz w:val="24"/>
              </w:rPr>
              <w:t>0</w:t>
            </w:r>
            <w:r w:rsidR="006A1319">
              <w:rPr>
                <w:rFonts w:ascii="Arial" w:hAnsi="Arial" w:cs="Arial"/>
                <w:bCs/>
                <w:color w:val="auto"/>
                <w:sz w:val="24"/>
              </w:rPr>
              <w:t>2</w:t>
            </w:r>
            <w:r w:rsidRPr="0036456E">
              <w:rPr>
                <w:rFonts w:ascii="Arial" w:hAnsi="Arial" w:cs="Arial"/>
                <w:bCs/>
                <w:color w:val="auto"/>
                <w:sz w:val="24"/>
              </w:rPr>
              <w:t>-IZ.00-</w:t>
            </w:r>
            <w:r w:rsidR="003D0513" w:rsidRPr="0036456E">
              <w:rPr>
                <w:rFonts w:ascii="Arial" w:hAnsi="Arial" w:cs="Arial"/>
                <w:bCs/>
                <w:color w:val="auto"/>
                <w:sz w:val="24"/>
              </w:rPr>
              <w:t>001/25</w:t>
            </w:r>
          </w:p>
        </w:tc>
      </w:tr>
      <w:bookmarkEnd w:id="0"/>
    </w:tbl>
    <w:p w14:paraId="724F0430" w14:textId="77777777" w:rsidR="0088288A" w:rsidRPr="00D26B8F" w:rsidRDefault="0088288A" w:rsidP="00736F05">
      <w:pPr>
        <w:pStyle w:val="Default"/>
        <w:spacing w:beforeLines="60" w:before="144" w:afterLines="60" w:after="144"/>
        <w:rPr>
          <w:rFonts w:ascii="Arial" w:hAnsi="Arial" w:cs="Arial"/>
          <w:b/>
          <w:color w:val="auto"/>
          <w:szCs w:val="22"/>
        </w:rPr>
      </w:pPr>
    </w:p>
    <w:p w14:paraId="6736717A" w14:textId="77777777" w:rsidR="002D7E22" w:rsidRDefault="002D7E22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56392DC2" w14:textId="77777777" w:rsidR="0080095D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2D53D34A" w14:textId="77777777" w:rsidR="0080095D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66C1E97F" w14:textId="77777777" w:rsidR="0080095D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652BF489" w14:textId="77777777" w:rsidR="0080095D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380FE4B2" w14:textId="77777777" w:rsidR="0080095D" w:rsidRPr="00D26B8F" w:rsidRDefault="0080095D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216009A0" w14:textId="77777777" w:rsidR="002D7E22" w:rsidRPr="00D26B8F" w:rsidRDefault="002D7E22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56CC180D" w14:textId="77777777" w:rsidR="007E68F6" w:rsidRPr="00D26B8F" w:rsidRDefault="007E68F6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036F2E5F" w14:textId="77777777" w:rsidR="007E68F6" w:rsidRPr="00D26B8F" w:rsidRDefault="007E68F6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362E2B45" w14:textId="77777777" w:rsidR="00433320" w:rsidRDefault="00433320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5D5466DD" w14:textId="77777777" w:rsidR="00D26B8F" w:rsidRDefault="00D26B8F" w:rsidP="00736F05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0DFC2C77" w14:textId="77777777" w:rsidR="007A20B8" w:rsidRDefault="007A20B8" w:rsidP="0036456E">
      <w:pPr>
        <w:pStyle w:val="Default"/>
        <w:spacing w:beforeLines="60" w:before="144" w:afterLines="60" w:after="144"/>
        <w:rPr>
          <w:rFonts w:ascii="Arial" w:hAnsi="Arial" w:cs="Arial"/>
          <w:i/>
          <w:iCs/>
          <w:color w:val="auto"/>
          <w:szCs w:val="22"/>
        </w:rPr>
      </w:pPr>
    </w:p>
    <w:p w14:paraId="36CFC72B" w14:textId="583FB33B" w:rsidR="0016324B" w:rsidRPr="00D46CB2" w:rsidRDefault="00647088" w:rsidP="007A20B8">
      <w:pPr>
        <w:pStyle w:val="Default"/>
        <w:spacing w:beforeLines="60" w:before="144" w:afterLines="60" w:after="144"/>
        <w:jc w:val="center"/>
        <w:rPr>
          <w:rFonts w:ascii="Arial" w:hAnsi="Arial" w:cs="Arial"/>
          <w:i/>
          <w:iCs/>
          <w:color w:val="auto"/>
          <w:sz w:val="24"/>
        </w:rPr>
      </w:pPr>
      <w:r w:rsidRPr="00D46CB2">
        <w:rPr>
          <w:rFonts w:ascii="Arial" w:hAnsi="Arial" w:cs="Arial"/>
          <w:i/>
          <w:iCs/>
          <w:color w:val="auto"/>
          <w:sz w:val="24"/>
        </w:rPr>
        <w:t>Białystok,</w:t>
      </w:r>
      <w:r w:rsidR="00AA6D65" w:rsidRPr="00D46CB2">
        <w:rPr>
          <w:rFonts w:ascii="Arial" w:hAnsi="Arial" w:cs="Arial"/>
          <w:i/>
          <w:iCs/>
          <w:color w:val="auto"/>
          <w:sz w:val="24"/>
        </w:rPr>
        <w:t xml:space="preserve"> </w:t>
      </w:r>
      <w:r w:rsidR="006A1319">
        <w:rPr>
          <w:rFonts w:ascii="Arial" w:hAnsi="Arial" w:cs="Arial"/>
          <w:i/>
          <w:iCs/>
          <w:color w:val="auto"/>
          <w:sz w:val="24"/>
        </w:rPr>
        <w:t xml:space="preserve">wrzesień </w:t>
      </w:r>
      <w:r w:rsidRPr="00D46CB2">
        <w:rPr>
          <w:rFonts w:ascii="Arial" w:hAnsi="Arial" w:cs="Arial"/>
          <w:i/>
          <w:iCs/>
          <w:color w:val="auto"/>
          <w:sz w:val="24"/>
        </w:rPr>
        <w:t>202</w:t>
      </w:r>
      <w:r w:rsidR="0036456E" w:rsidRPr="00D46CB2">
        <w:rPr>
          <w:rFonts w:ascii="Arial" w:hAnsi="Arial" w:cs="Arial"/>
          <w:i/>
          <w:iCs/>
          <w:color w:val="auto"/>
          <w:sz w:val="24"/>
        </w:rPr>
        <w:t>5</w:t>
      </w:r>
      <w:r w:rsidR="00F108BC" w:rsidRPr="00D46CB2">
        <w:rPr>
          <w:rFonts w:ascii="Arial" w:hAnsi="Arial" w:cs="Arial"/>
          <w:i/>
          <w:iCs/>
          <w:color w:val="auto"/>
          <w:sz w:val="24"/>
        </w:rPr>
        <w:t xml:space="preserve"> </w:t>
      </w:r>
      <w:r w:rsidRPr="00D46CB2">
        <w:rPr>
          <w:rFonts w:ascii="Arial" w:hAnsi="Arial" w:cs="Arial"/>
          <w:i/>
          <w:iCs/>
          <w:color w:val="auto"/>
          <w:sz w:val="24"/>
        </w:rPr>
        <w:t>r.</w:t>
      </w:r>
      <w:bookmarkStart w:id="2" w:name="_Toc179288309"/>
      <w:bookmarkStart w:id="3" w:name="_Toc138840673"/>
      <w:bookmarkStart w:id="4" w:name="_Toc180153000"/>
      <w:bookmarkStart w:id="5" w:name="_Toc130147668"/>
      <w:bookmarkStart w:id="6" w:name="_Toc132620337"/>
      <w:bookmarkEnd w:id="2"/>
    </w:p>
    <w:p w14:paraId="356D9ECB" w14:textId="332B9A24" w:rsidR="00D26B8F" w:rsidRDefault="00D26B8F" w:rsidP="00736F05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28439181" w14:textId="77777777" w:rsidR="002D7E22" w:rsidRPr="00D26B8F" w:rsidRDefault="002D7E22" w:rsidP="00736F05">
      <w:pPr>
        <w:spacing w:beforeLines="60" w:before="144" w:afterLines="60" w:after="144" w:line="240" w:lineRule="auto"/>
        <w:rPr>
          <w:rFonts w:ascii="Arial" w:eastAsia="Calibri" w:hAnsi="Arial" w:cs="Arial"/>
          <w:lang w:eastAsia="en-US"/>
        </w:rPr>
      </w:pPr>
    </w:p>
    <w:p w14:paraId="66796B98" w14:textId="73E0399E" w:rsidR="002D7E22" w:rsidRPr="00D46CB2" w:rsidRDefault="00D26B8F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</w:pPr>
      <w:r w:rsidRPr="00D46CB2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D</w:t>
      </w:r>
      <w:r w:rsidR="001D1CFE" w:rsidRPr="00D46CB2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 xml:space="preserve">okument </w:t>
      </w:r>
      <w:r w:rsidRPr="00D46CB2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 xml:space="preserve">Należy przedłożyć </w:t>
      </w:r>
      <w:r w:rsidR="001D1CFE" w:rsidRPr="00D46CB2">
        <w:rPr>
          <w:rFonts w:ascii="Arial" w:eastAsia="Calibri" w:hAnsi="Arial" w:cs="Arial"/>
          <w:b/>
          <w:bCs/>
          <w:i/>
          <w:iCs/>
          <w:sz w:val="24"/>
          <w:szCs w:val="24"/>
          <w:lang w:eastAsia="en-US"/>
        </w:rPr>
        <w:t>w wersji elektronicznej w formacie PDF aktywnym (wydruk do pdf).</w:t>
      </w:r>
    </w:p>
    <w:p w14:paraId="223A778C" w14:textId="77777777" w:rsidR="00D26B8F" w:rsidRPr="00D46CB2" w:rsidRDefault="0016324B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Dane zawarte w Uproszczonym Studium wykonalności (USW) muszą odpowiadać stanowi faktycznemu. Ocena projektu będzie przeprowadzana na podstawie zapisów we Wniosku o dofinansowanie, Uproszczonym Studium Wykonalności i po</w:t>
      </w:r>
      <w:r w:rsidR="001D1CFE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z</w:t>
      </w: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ostałych załącznik</w:t>
      </w:r>
      <w:r w:rsidR="00D26B8F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ów</w:t>
      </w: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do Wniosku o dofinansowanie.</w:t>
      </w:r>
    </w:p>
    <w:p w14:paraId="37748D21" w14:textId="77777777" w:rsidR="00987A5F" w:rsidRPr="00D46CB2" w:rsidRDefault="0016324B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Np.</w:t>
      </w:r>
      <w:r w:rsidR="00D26B8F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:</w:t>
      </w:r>
    </w:p>
    <w:p w14:paraId="6206CB19" w14:textId="6BB9EE5E" w:rsidR="00987A5F" w:rsidRPr="00F96176" w:rsidRDefault="00987A5F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-</w:t>
      </w:r>
      <w:r w:rsidR="0016324B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bookmarkStart w:id="7" w:name="_Hlk180491477"/>
      <w:r w:rsidR="0016324B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Kryterium Kwalifikowalność wydatków projektu ocenian</w:t>
      </w:r>
      <w:r w:rsidR="00D26B8F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>e</w:t>
      </w:r>
      <w:r w:rsidR="0016324B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będzie na podstawie informacji zawartych we Wniosku o dofinansowanie</w:t>
      </w:r>
      <w:r w:rsidR="00BB6735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, załącznikach do Wniosku: dokumentacja techniczna, kosztorys, oferty </w:t>
      </w:r>
      <w:r w:rsidR="0016324B" w:rsidRPr="00D46CB2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oraz zapisów w pkt. </w:t>
      </w:r>
      <w:r w:rsidR="00FE629B" w:rsidRPr="00E20209">
        <w:rPr>
          <w:rFonts w:ascii="Arial" w:eastAsia="Calibri" w:hAnsi="Arial" w:cs="Arial"/>
          <w:i/>
          <w:iCs/>
          <w:sz w:val="24"/>
          <w:szCs w:val="24"/>
          <w:lang w:eastAsia="en-US"/>
        </w:rPr>
        <w:t>Sposób szacowania wydatków kwalifikowalnych projektu</w:t>
      </w:r>
      <w:r w:rsidR="00D26B8F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;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</w:p>
    <w:p w14:paraId="2BBE2CE9" w14:textId="30A3FB77" w:rsidR="00BB6735" w:rsidRPr="00F96176" w:rsidRDefault="00987A5F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-</w:t>
      </w:r>
      <w:r w:rsidR="00F02378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</w:t>
      </w:r>
      <w:r w:rsidR="00D26B8F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k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ryterium Wykonalność techniczna projektu ocenian</w:t>
      </w:r>
      <w:r w:rsidR="00D26B8F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e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będzie na podstawie informacji zawartych </w:t>
      </w:r>
      <w:r w:rsidR="001A6239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we wniosku o dofinansowanie 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w sekcji H1 </w:t>
      </w:r>
      <w:r w:rsidR="001A6239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Potencjał do realizacji projektu 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oraz zapisów w pkt. </w:t>
      </w:r>
      <w:r w:rsidR="00FE629B" w:rsidRPr="00E20209">
        <w:rPr>
          <w:rFonts w:ascii="Arial" w:eastAsia="Calibri" w:hAnsi="Arial" w:cs="Arial"/>
          <w:i/>
          <w:iCs/>
          <w:sz w:val="24"/>
          <w:szCs w:val="24"/>
          <w:lang w:eastAsia="en-US"/>
        </w:rPr>
        <w:t>Wykonalność techniczna projekt</w:t>
      </w:r>
      <w:r w:rsidR="00FE629B" w:rsidRPr="00FE629B">
        <w:rPr>
          <w:rFonts w:ascii="Arial" w:eastAsia="Calibri" w:hAnsi="Arial" w:cs="Arial"/>
          <w:i/>
          <w:iCs/>
          <w:sz w:val="24"/>
          <w:szCs w:val="24"/>
          <w:lang w:eastAsia="en-US"/>
        </w:rPr>
        <w:t>u</w:t>
      </w:r>
      <w:r w:rsidR="0016324B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.  </w:t>
      </w:r>
      <w:bookmarkEnd w:id="7"/>
    </w:p>
    <w:p w14:paraId="44BDD30E" w14:textId="1DF2DA53" w:rsidR="00BB6735" w:rsidRPr="00F96176" w:rsidRDefault="0016324B" w:rsidP="00736F05">
      <w:pPr>
        <w:spacing w:beforeLines="60" w:before="144" w:afterLines="60" w:after="144" w:line="240" w:lineRule="auto"/>
        <w:rPr>
          <w:rFonts w:ascii="Arial" w:eastAsia="Calibri" w:hAnsi="Arial" w:cs="Arial"/>
          <w:i/>
          <w:iCs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Należy zwrócić szczególną uwagę, aby informacje zawarte w dokumencie były spójne z zapisami zawartymi we wniosku o dofinansowanie oraz w pozostałych załącznikach. Dokumentacja jako całość, powinna umożliwić dokonanie oceny w ramach obowiązujących kryteriów. </w:t>
      </w:r>
      <w:r w:rsidR="008053DD"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Wnioskodawc</w:t>
      </w:r>
      <w:r w:rsidRPr="00F96176">
        <w:rPr>
          <w:rFonts w:ascii="Arial" w:eastAsia="Calibri" w:hAnsi="Arial" w:cs="Arial"/>
          <w:i/>
          <w:iCs/>
          <w:sz w:val="24"/>
          <w:szCs w:val="24"/>
          <w:lang w:eastAsia="en-US"/>
        </w:rPr>
        <w:t>a ponosi pełną odpowiedzialność za informacje zawarte w składanych dokumentach.</w:t>
      </w:r>
    </w:p>
    <w:p w14:paraId="05D6E44C" w14:textId="0CEEEB19" w:rsidR="0016324B" w:rsidRPr="00F96176" w:rsidRDefault="00BB6735" w:rsidP="00736F05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i/>
          <w:iCs/>
          <w:sz w:val="24"/>
          <w:szCs w:val="24"/>
          <w:lang w:eastAsia="x-none"/>
        </w:rPr>
      </w:pPr>
      <w:r w:rsidRPr="00F96176">
        <w:rPr>
          <w:rFonts w:ascii="Arial" w:eastAsiaTheme="majorEastAsia" w:hAnsi="Arial" w:cs="Arial"/>
          <w:b/>
          <w:bCs/>
          <w:i/>
          <w:iCs/>
          <w:sz w:val="24"/>
          <w:szCs w:val="24"/>
          <w:lang w:eastAsia="x-none"/>
        </w:rPr>
        <w:t>Należy unikać nadmiernego rozbudowywania opisów i podawania informacji zbędnych dla oceny wykonalności projektu.</w:t>
      </w:r>
    </w:p>
    <w:p w14:paraId="1E86031D" w14:textId="77777777" w:rsidR="001D1CFE" w:rsidRPr="00F96176" w:rsidRDefault="001D1CFE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C6485CF" w14:textId="33ADA24E" w:rsidR="009F6BA1" w:rsidRPr="00F96176" w:rsidRDefault="009F6BA1" w:rsidP="00736F05">
      <w:pPr>
        <w:pStyle w:val="Akapitzlist"/>
        <w:keepNext/>
        <w:keepLines/>
        <w:numPr>
          <w:ilvl w:val="0"/>
          <w:numId w:val="15"/>
        </w:numPr>
        <w:spacing w:beforeLines="60" w:before="144" w:afterLines="60" w:after="144" w:line="240" w:lineRule="auto"/>
        <w:contextualSpacing w:val="0"/>
        <w:outlineLvl w:val="2"/>
        <w:rPr>
          <w:rFonts w:ascii="Arial" w:eastAsiaTheme="majorEastAsia" w:hAnsi="Arial" w:cs="Arial"/>
          <w:b/>
          <w:bCs/>
          <w:sz w:val="24"/>
          <w:szCs w:val="24"/>
          <w:lang w:eastAsia="x-none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  <w:lang w:eastAsia="x-none"/>
        </w:rPr>
        <w:t xml:space="preserve">Ogólna charakterystyka </w:t>
      </w:r>
      <w:r w:rsidR="008053DD" w:rsidRPr="00F96176">
        <w:rPr>
          <w:rFonts w:ascii="Arial" w:eastAsiaTheme="majorEastAsia" w:hAnsi="Arial" w:cs="Arial"/>
          <w:b/>
          <w:bCs/>
          <w:sz w:val="24"/>
          <w:szCs w:val="24"/>
          <w:lang w:eastAsia="x-none"/>
        </w:rPr>
        <w:t>Wnioskodawc</w:t>
      </w:r>
      <w:r w:rsidRPr="00F96176">
        <w:rPr>
          <w:rFonts w:ascii="Arial" w:eastAsiaTheme="majorEastAsia" w:hAnsi="Arial" w:cs="Arial"/>
          <w:b/>
          <w:bCs/>
          <w:sz w:val="24"/>
          <w:szCs w:val="24"/>
          <w:lang w:eastAsia="x-none"/>
        </w:rPr>
        <w:t>y</w:t>
      </w:r>
      <w:bookmarkEnd w:id="3"/>
      <w:bookmarkEnd w:id="4"/>
    </w:p>
    <w:p w14:paraId="717066D8" w14:textId="38179327" w:rsidR="008B6531" w:rsidRPr="00F96176" w:rsidRDefault="002055B8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F96176">
        <w:rPr>
          <w:rFonts w:ascii="Arial" w:eastAsia="Calibri" w:hAnsi="Arial" w:cs="Arial"/>
          <w:sz w:val="24"/>
          <w:szCs w:val="24"/>
          <w:lang w:eastAsia="x-none"/>
        </w:rPr>
        <w:t>Nazwa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 xml:space="preserve"> </w:t>
      </w:r>
      <w:r w:rsidR="008053DD" w:rsidRPr="00F96176">
        <w:rPr>
          <w:rFonts w:ascii="Arial" w:eastAsia="Calibri" w:hAnsi="Arial" w:cs="Arial"/>
          <w:sz w:val="24"/>
          <w:szCs w:val="24"/>
          <w:lang w:eastAsia="x-none"/>
        </w:rPr>
        <w:t>Wnioskodawc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>y</w:t>
      </w:r>
      <w:r w:rsidRPr="00F96176">
        <w:rPr>
          <w:rFonts w:ascii="Arial" w:eastAsia="Calibri" w:hAnsi="Arial" w:cs="Arial"/>
          <w:sz w:val="24"/>
          <w:szCs w:val="24"/>
          <w:lang w:eastAsia="x-none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D26B8F" w14:paraId="0137DD5D" w14:textId="77777777" w:rsidTr="008526C7">
        <w:tc>
          <w:tcPr>
            <w:tcW w:w="9973" w:type="dxa"/>
          </w:tcPr>
          <w:p w14:paraId="2EAC79AE" w14:textId="77777777" w:rsidR="008B6531" w:rsidRPr="008A0143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29C4E2A7" w14:textId="77777777" w:rsidR="008B6531" w:rsidRPr="00D26B8F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</w:rPr>
            </w:pPr>
          </w:p>
        </w:tc>
      </w:tr>
    </w:tbl>
    <w:p w14:paraId="7CE064C8" w14:textId="485F8A6B" w:rsidR="002055B8" w:rsidRPr="00F96176" w:rsidRDefault="001A6239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F96176">
        <w:rPr>
          <w:rFonts w:ascii="Arial" w:eastAsia="Calibri" w:hAnsi="Arial" w:cs="Arial"/>
          <w:sz w:val="24"/>
          <w:szCs w:val="24"/>
          <w:lang w:eastAsia="x-none"/>
        </w:rPr>
        <w:t xml:space="preserve">Forma 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>organizacyjno-prawn</w:t>
      </w:r>
      <w:r w:rsidR="002055B8" w:rsidRPr="00F96176">
        <w:rPr>
          <w:rFonts w:ascii="Arial" w:eastAsia="Calibri" w:hAnsi="Arial" w:cs="Arial"/>
          <w:sz w:val="24"/>
          <w:szCs w:val="24"/>
          <w:lang w:eastAsia="x-none"/>
        </w:rPr>
        <w:t>a: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36456E" w14:paraId="4588FADF" w14:textId="77777777" w:rsidTr="008526C7">
        <w:tc>
          <w:tcPr>
            <w:tcW w:w="9973" w:type="dxa"/>
          </w:tcPr>
          <w:p w14:paraId="31788A76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786493DA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7C6C10" w14:textId="21227282" w:rsidR="009D687F" w:rsidRPr="00F96176" w:rsidRDefault="008B6531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x-none"/>
        </w:rPr>
      </w:pPr>
      <w:r w:rsidRPr="00F96176">
        <w:rPr>
          <w:rFonts w:ascii="Arial" w:eastAsia="Calibri" w:hAnsi="Arial" w:cs="Arial"/>
          <w:sz w:val="24"/>
          <w:szCs w:val="24"/>
          <w:lang w:eastAsia="en-US"/>
        </w:rPr>
        <w:t>O</w:t>
      </w:r>
      <w:r w:rsidR="009F6BA1" w:rsidRPr="00F96176">
        <w:rPr>
          <w:rFonts w:ascii="Arial" w:eastAsia="Calibri" w:hAnsi="Arial" w:cs="Arial"/>
          <w:sz w:val="24"/>
          <w:szCs w:val="24"/>
          <w:lang w:eastAsia="x-none"/>
        </w:rPr>
        <w:t>pis działalności</w:t>
      </w:r>
      <w:r w:rsidR="002055B8" w:rsidRPr="00F96176">
        <w:rPr>
          <w:rFonts w:ascii="Arial" w:eastAsia="Calibri" w:hAnsi="Arial" w:cs="Arial"/>
          <w:sz w:val="24"/>
          <w:szCs w:val="24"/>
          <w:lang w:eastAsia="x-none"/>
        </w:rPr>
        <w:t>:</w:t>
      </w:r>
      <w:bookmarkStart w:id="8" w:name="_Toc138840676"/>
      <w:bookmarkStart w:id="9" w:name="_Toc180153003"/>
      <w:bookmarkEnd w:id="5"/>
      <w:bookmarkEnd w:id="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36456E" w14:paraId="79420E77" w14:textId="77777777" w:rsidTr="008526C7">
        <w:tc>
          <w:tcPr>
            <w:tcW w:w="9973" w:type="dxa"/>
          </w:tcPr>
          <w:p w14:paraId="6D9C897C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10" w:name="_Hlk180492473"/>
          </w:p>
          <w:p w14:paraId="29533C6E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0"/>
    <w:p w14:paraId="6DF995DE" w14:textId="0415A5DC" w:rsidR="009F6BA1" w:rsidRPr="00F96176" w:rsidRDefault="009F6BA1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="Calibri" w:hAnsi="Arial" w:cs="Arial"/>
          <w:b/>
          <w:bCs/>
          <w:sz w:val="24"/>
          <w:szCs w:val="24"/>
          <w:lang w:eastAsia="x-none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Identyfikacja projektu</w:t>
      </w:r>
      <w:bookmarkEnd w:id="8"/>
      <w:bookmarkEnd w:id="9"/>
      <w:r w:rsidRPr="00F96176">
        <w:rPr>
          <w:rFonts w:ascii="Arial" w:eastAsiaTheme="majorEastAsia" w:hAnsi="Arial" w:cs="Arial"/>
          <w:b/>
          <w:bCs/>
          <w:sz w:val="24"/>
          <w:szCs w:val="24"/>
          <w:lang w:eastAsia="x-none"/>
        </w:rPr>
        <w:t xml:space="preserve"> </w:t>
      </w:r>
    </w:p>
    <w:p w14:paraId="568E8CEE" w14:textId="454F119A" w:rsidR="00926034" w:rsidRPr="00F96176" w:rsidRDefault="00926034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>Tytuł projektu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36456E" w14:paraId="10189ABB" w14:textId="77777777" w:rsidTr="008526C7">
        <w:tc>
          <w:tcPr>
            <w:tcW w:w="9973" w:type="dxa"/>
          </w:tcPr>
          <w:p w14:paraId="729322EA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11AF6093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099AFD" w14:textId="0FA16AAD" w:rsidR="00305682" w:rsidRPr="00F96176" w:rsidRDefault="00305682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Typ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D7E22" w:rsidRPr="0036456E" w14:paraId="606BB3D8" w14:textId="77777777" w:rsidTr="008526C7">
        <w:tc>
          <w:tcPr>
            <w:tcW w:w="9973" w:type="dxa"/>
          </w:tcPr>
          <w:p w14:paraId="72E0C072" w14:textId="77777777" w:rsidR="00F41FA0" w:rsidRPr="00F96176" w:rsidRDefault="002D7E22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iCs/>
                <w:sz w:val="24"/>
                <w:szCs w:val="24"/>
              </w:rPr>
            </w:pPr>
            <w:bookmarkStart w:id="11" w:name="_Hlk180412632"/>
            <w:r w:rsidRPr="00F961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bookmarkEnd w:id="11"/>
            <w:r w:rsidRPr="00F961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1FA0" w:rsidRPr="00F96176">
              <w:rPr>
                <w:rFonts w:ascii="Arial" w:hAnsi="Arial" w:cs="Arial"/>
                <w:sz w:val="24"/>
                <w:szCs w:val="24"/>
              </w:rPr>
              <w:t xml:space="preserve">Zakup, </w:t>
            </w:r>
            <w:r w:rsidR="00F41FA0" w:rsidRPr="00F96176">
              <w:rPr>
                <w:rFonts w:ascii="Arial" w:hAnsi="Arial" w:cs="Arial"/>
                <w:iCs/>
                <w:sz w:val="24"/>
                <w:szCs w:val="24"/>
              </w:rPr>
              <w:t xml:space="preserve">modernizacja niskoemisyjnego i </w:t>
            </w:r>
            <w:proofErr w:type="spellStart"/>
            <w:r w:rsidR="00F41FA0" w:rsidRPr="00F96176">
              <w:rPr>
                <w:rFonts w:ascii="Arial" w:hAnsi="Arial" w:cs="Arial"/>
                <w:iCs/>
                <w:sz w:val="24"/>
                <w:szCs w:val="24"/>
              </w:rPr>
              <w:t>bezemisyjnego</w:t>
            </w:r>
            <w:proofErr w:type="spellEnd"/>
            <w:r w:rsidR="00F41FA0" w:rsidRPr="00F96176">
              <w:rPr>
                <w:rFonts w:ascii="Arial" w:hAnsi="Arial" w:cs="Arial"/>
                <w:iCs/>
                <w:sz w:val="24"/>
                <w:szCs w:val="24"/>
              </w:rPr>
              <w:t xml:space="preserve"> taboru na potrzeby transportu publicznego.</w:t>
            </w:r>
          </w:p>
          <w:p w14:paraId="27040253" w14:textId="77777777" w:rsidR="00F41FA0" w:rsidRPr="00F96176" w:rsidRDefault="00F41FA0" w:rsidP="00F41FA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961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96176">
              <w:rPr>
                <w:rFonts w:ascii="Arial" w:hAnsi="Arial" w:cs="Arial"/>
                <w:sz w:val="24"/>
                <w:szCs w:val="24"/>
              </w:rPr>
              <w:t xml:space="preserve"> Budowa </w:t>
            </w:r>
            <w:r w:rsidRPr="00F96176">
              <w:rPr>
                <w:rFonts w:ascii="Arial" w:hAnsi="Arial" w:cs="Arial"/>
                <w:iCs/>
                <w:sz w:val="24"/>
                <w:szCs w:val="24"/>
              </w:rPr>
              <w:t xml:space="preserve">instalacji do dystrybucji nośników energii dla </w:t>
            </w:r>
            <w:proofErr w:type="spellStart"/>
            <w:r w:rsidRPr="00F96176">
              <w:rPr>
                <w:rFonts w:ascii="Arial" w:hAnsi="Arial" w:cs="Arial"/>
                <w:iCs/>
                <w:sz w:val="24"/>
                <w:szCs w:val="24"/>
              </w:rPr>
              <w:t>bezemisyjnego</w:t>
            </w:r>
            <w:proofErr w:type="spellEnd"/>
            <w:r w:rsidRPr="00F96176">
              <w:rPr>
                <w:rFonts w:ascii="Arial" w:hAnsi="Arial" w:cs="Arial"/>
                <w:iCs/>
                <w:sz w:val="24"/>
                <w:szCs w:val="24"/>
              </w:rPr>
              <w:t xml:space="preserve"> transportu</w:t>
            </w:r>
            <w:r w:rsidRPr="00F9617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  <w:p w14:paraId="3F1ABDA1" w14:textId="77777777" w:rsidR="003D0FC5" w:rsidRPr="00F96176" w:rsidRDefault="003D0FC5" w:rsidP="00F41FA0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1B8C9B8D" w14:textId="5C1AB852" w:rsidR="003D0FC5" w:rsidRPr="00F96176" w:rsidRDefault="003D0FC5" w:rsidP="003D0FC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F9617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961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6176">
              <w:rPr>
                <w:rFonts w:ascii="Arial" w:hAnsi="Arial" w:cs="Arial"/>
                <w:iCs/>
                <w:sz w:val="24"/>
                <w:szCs w:val="24"/>
              </w:rPr>
              <w:t>Wyposażenie dróg/ulic w infrastrukturę służącą obsłudze transportu publicznego oraz pasażerów.</w:t>
            </w:r>
          </w:p>
          <w:p w14:paraId="5530E6D6" w14:textId="77777777" w:rsidR="003D0FC5" w:rsidRPr="00F96176" w:rsidRDefault="003D0FC5" w:rsidP="003D0FC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369887" w14:textId="03542CBB" w:rsidR="003D0FC5" w:rsidRPr="00F96176" w:rsidRDefault="003D0FC5" w:rsidP="003D0FC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F96176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F96176">
              <w:rPr>
                <w:rFonts w:ascii="Arial" w:hAnsi="Arial" w:cs="Arial"/>
                <w:iCs/>
                <w:sz w:val="24"/>
                <w:szCs w:val="24"/>
              </w:rPr>
              <w:t>Budowa, przebudowa, rozbudowa liniowej i punktowej infrastruktury transportu publicznego i niezmotoryzowanego.</w:t>
            </w:r>
          </w:p>
          <w:p w14:paraId="52C60879" w14:textId="77777777" w:rsidR="003D0FC5" w:rsidRPr="00F96176" w:rsidRDefault="003D0FC5" w:rsidP="003D0FC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0FD400D" w14:textId="4F44BBDA" w:rsidR="003D0FC5" w:rsidRPr="00F96176" w:rsidRDefault="003D0FC5" w:rsidP="00F96176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F96176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r w:rsidRPr="00F96176">
              <w:rPr>
                <w:rFonts w:ascii="Arial" w:hAnsi="Arial" w:cs="Arial"/>
                <w:iCs/>
                <w:sz w:val="24"/>
                <w:szCs w:val="24"/>
              </w:rPr>
              <w:t>Inteligentne Systemy Transportowe.</w:t>
            </w:r>
          </w:p>
          <w:p w14:paraId="064A0342" w14:textId="20DF3863" w:rsidR="002D7E22" w:rsidRPr="00F96176" w:rsidRDefault="002D7E22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33354E5" w14:textId="370D5D30" w:rsidR="00305682" w:rsidRPr="00F96176" w:rsidRDefault="00305682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>Lokalizacja projektu: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8B6531" w:rsidRPr="0036456E" w14:paraId="60A1E683" w14:textId="77777777" w:rsidTr="008526C7">
        <w:tc>
          <w:tcPr>
            <w:tcW w:w="9973" w:type="dxa"/>
          </w:tcPr>
          <w:p w14:paraId="66A22B75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766A21DC" w14:textId="77777777" w:rsidR="008B6531" w:rsidRPr="00F96176" w:rsidRDefault="008B6531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F7594" w14:textId="396B14F3" w:rsidR="00926034" w:rsidRPr="00F96176" w:rsidRDefault="00926034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Całkowity koszt projektu</w:t>
      </w:r>
      <w:r w:rsidR="002055B8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:</w:t>
      </w:r>
    </w:p>
    <w:p w14:paraId="723C885C" w14:textId="5C0F8438" w:rsidR="009F5AB7" w:rsidRPr="00F96176" w:rsidRDefault="00926034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Całkowity koszt kwalifikowalny projektu</w:t>
      </w:r>
      <w:r w:rsidR="002055B8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:</w:t>
      </w:r>
    </w:p>
    <w:p w14:paraId="6FE5A5A5" w14:textId="5A503F4B" w:rsidR="002055B8" w:rsidRPr="00F96176" w:rsidRDefault="002055B8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Wnioskowana kwota dofinansowania: </w:t>
      </w:r>
    </w:p>
    <w:p w14:paraId="4D24D553" w14:textId="674EAB24" w:rsidR="002055B8" w:rsidRPr="00F96176" w:rsidRDefault="002055B8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Wnioskowany poziom dofinansowania:</w:t>
      </w:r>
    </w:p>
    <w:p w14:paraId="0640379E" w14:textId="2D64673D" w:rsidR="00077803" w:rsidRPr="00F96176" w:rsidRDefault="00077803" w:rsidP="00077803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Termin i okres realizacji</w:t>
      </w:r>
      <w:r w:rsidR="00283A58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projektu</w:t>
      </w: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:</w:t>
      </w:r>
    </w:p>
    <w:p w14:paraId="5D8B114C" w14:textId="77777777" w:rsidR="00FE629B" w:rsidRPr="00F96176" w:rsidRDefault="00FE629B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</w:p>
    <w:p w14:paraId="5366704F" w14:textId="32E0B4C4" w:rsidR="002055B8" w:rsidRPr="00F96176" w:rsidRDefault="008B6531" w:rsidP="00736F05">
      <w:pPr>
        <w:spacing w:beforeLines="60" w:before="144" w:afterLines="60" w:after="144" w:line="240" w:lineRule="auto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O</w:t>
      </w:r>
      <w:r w:rsidR="00926034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pis </w:t>
      </w:r>
      <w:r w:rsidR="00BB6735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przedmiotu i </w:t>
      </w:r>
      <w:r w:rsidR="002055B8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zakres</w:t>
      </w:r>
      <w:r w:rsidR="0080095D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u</w:t>
      </w:r>
      <w:r w:rsidR="002055B8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rzeczow</w:t>
      </w:r>
      <w:r w:rsidR="0080095D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ego</w:t>
      </w:r>
      <w:r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projektu.</w:t>
      </w:r>
      <w:r w:rsidR="00BB6735" w:rsidRPr="00F96176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 xml:space="preserve"> </w:t>
      </w:r>
    </w:p>
    <w:p w14:paraId="2CBD32D9" w14:textId="77777777" w:rsidR="006A12B4" w:rsidRPr="006A12B4" w:rsidRDefault="006A12B4" w:rsidP="00F96176">
      <w:pPr>
        <w:pStyle w:val="Default"/>
        <w:rPr>
          <w:rFonts w:ascii="Arial" w:hAnsi="Arial" w:cs="Arial"/>
          <w:sz w:val="24"/>
        </w:rPr>
      </w:pPr>
      <w:r w:rsidRPr="006A12B4">
        <w:rPr>
          <w:rFonts w:ascii="Arial" w:hAnsi="Arial" w:cs="Arial"/>
          <w:sz w:val="24"/>
        </w:rPr>
        <w:t xml:space="preserve">W opisie należy zawrzeć m.in. informacje w zakresie: </w:t>
      </w:r>
    </w:p>
    <w:p w14:paraId="1295601B" w14:textId="0BC1B939" w:rsidR="006A12B4" w:rsidRPr="00A76FF6" w:rsidRDefault="006A12B4" w:rsidP="006A12B4">
      <w:pPr>
        <w:pStyle w:val="Default"/>
        <w:numPr>
          <w:ilvl w:val="0"/>
          <w:numId w:val="57"/>
        </w:numPr>
        <w:rPr>
          <w:rFonts w:ascii="Arial" w:hAnsi="Arial" w:cs="Arial"/>
          <w:sz w:val="24"/>
        </w:rPr>
      </w:pPr>
      <w:r w:rsidRPr="00A76FF6">
        <w:rPr>
          <w:rFonts w:ascii="Arial" w:hAnsi="Arial" w:cs="Arial"/>
          <w:sz w:val="24"/>
        </w:rPr>
        <w:t>czy projekt swoim zakresem obejmuje wsparcie systemów publicznego transportu zbiorowego przez inwestycje w infrastrukturę i nowoczesny nisko i zeroemisyjny tabor kołowy spełniający wymogi dla „ekologicznie czystych pojazdów” w rozumieniu dyrektywy Parlamentu Europejskiego i Rady (UE) 2019/1161 z dnia 20 czerwca 2019 r.</w:t>
      </w:r>
      <w:r>
        <w:rPr>
          <w:rFonts w:ascii="Arial" w:hAnsi="Arial" w:cs="Arial"/>
          <w:sz w:val="24"/>
        </w:rPr>
        <w:t xml:space="preserve"> </w:t>
      </w:r>
      <w:r w:rsidRPr="00A76FF6">
        <w:rPr>
          <w:rFonts w:ascii="Arial" w:hAnsi="Arial" w:cs="Arial"/>
          <w:sz w:val="24"/>
        </w:rPr>
        <w:t>zmieniającej dyrektywę 2009/33/WE w sprawie promowania ekologicznie czystych i energooszczędnych pojazdów transportu drogowego</w:t>
      </w:r>
      <w:r>
        <w:rPr>
          <w:rFonts w:ascii="Arial" w:hAnsi="Arial" w:cs="Arial"/>
          <w:sz w:val="24"/>
        </w:rPr>
        <w:t>;</w:t>
      </w:r>
    </w:p>
    <w:p w14:paraId="7F113D59" w14:textId="0E596E83" w:rsidR="006A12B4" w:rsidRDefault="006A12B4" w:rsidP="00F96176">
      <w:pPr>
        <w:pStyle w:val="Default"/>
        <w:numPr>
          <w:ilvl w:val="0"/>
          <w:numId w:val="57"/>
        </w:numPr>
        <w:rPr>
          <w:rFonts w:ascii="Arial" w:hAnsi="Arial" w:cs="Arial"/>
          <w:sz w:val="24"/>
        </w:rPr>
      </w:pPr>
      <w:r w:rsidRPr="006A12B4">
        <w:rPr>
          <w:rFonts w:ascii="Arial" w:hAnsi="Arial" w:cs="Arial"/>
          <w:sz w:val="24"/>
        </w:rPr>
        <w:t>w jaki sposób, przy projektowaniu i wdrażaniu przedsięwzięć infrastrukturalnych i organizacyjnych będą podejmowane działania na rzecz wyrównywania szans oraz przeciwdziałania dyskryminacji w dostępie do infrastruktury i usług transportu miejskiego, zgodnie ze standardem: transportowym (infrastruktury komunikacji publicznej oraz taboru miejskiego), architektonicznym (m.in. stanowiska postojowe, przemieszczanie się, oznaczenia wewnątrz i na zewnątrz budynków) oraz cyfrowym (sprzęt informatyczny szczególnego przeznaczenia, np. biletomaty)</w:t>
      </w:r>
      <w:r>
        <w:rPr>
          <w:rFonts w:ascii="Arial" w:hAnsi="Arial" w:cs="Arial"/>
          <w:sz w:val="24"/>
        </w:rPr>
        <w:t>;</w:t>
      </w:r>
    </w:p>
    <w:p w14:paraId="4B4E07F7" w14:textId="17F15C01" w:rsidR="006A12B4" w:rsidRPr="006A12B4" w:rsidRDefault="006A12B4" w:rsidP="00F96176">
      <w:pPr>
        <w:pStyle w:val="Default"/>
        <w:numPr>
          <w:ilvl w:val="0"/>
          <w:numId w:val="57"/>
        </w:numPr>
        <w:rPr>
          <w:rFonts w:ascii="Arial" w:hAnsi="Arial" w:cs="Arial"/>
          <w:sz w:val="24"/>
        </w:rPr>
      </w:pPr>
      <w:r w:rsidRPr="006A12B4">
        <w:rPr>
          <w:rFonts w:ascii="Arial" w:hAnsi="Arial" w:cs="Arial"/>
          <w:sz w:val="24"/>
        </w:rPr>
        <w:t xml:space="preserve">w jaki sposób infrastruktura, tabor miejski oraz oferta przewozowa będą </w:t>
      </w:r>
      <w:r w:rsidRPr="006A12B4">
        <w:rPr>
          <w:rFonts w:ascii="Arial" w:hAnsi="Arial" w:cs="Arial"/>
          <w:sz w:val="24"/>
        </w:rPr>
        <w:lastRenderedPageBreak/>
        <w:t xml:space="preserve">odpowiadały na potrzeby potencjalnych użytkowników, w szczególności uwzględniały potrzeby osób w niekorzystnej sytuacji: kobiet, </w:t>
      </w:r>
      <w:proofErr w:type="spellStart"/>
      <w:r w:rsidRPr="006A12B4">
        <w:rPr>
          <w:rFonts w:ascii="Arial" w:hAnsi="Arial" w:cs="Arial"/>
          <w:sz w:val="24"/>
        </w:rPr>
        <w:t>OzN</w:t>
      </w:r>
      <w:proofErr w:type="spellEnd"/>
      <w:r w:rsidRPr="006A12B4">
        <w:rPr>
          <w:rFonts w:ascii="Arial" w:hAnsi="Arial" w:cs="Arial"/>
          <w:sz w:val="24"/>
        </w:rPr>
        <w:t>, osób starszych, osób o ograniczonych możliwościach poruszania się, opiekunów z dziećmi czy osobami zależnymi</w:t>
      </w:r>
      <w:r>
        <w:rPr>
          <w:rFonts w:ascii="Arial" w:hAnsi="Arial" w:cs="Arial"/>
          <w:sz w:val="24"/>
        </w:rPr>
        <w:t>;</w:t>
      </w:r>
    </w:p>
    <w:p w14:paraId="0DD892E4" w14:textId="6FE1E63E" w:rsidR="006A12B4" w:rsidRDefault="006A12B4" w:rsidP="00F96176">
      <w:pPr>
        <w:pStyle w:val="Default"/>
        <w:numPr>
          <w:ilvl w:val="0"/>
          <w:numId w:val="57"/>
        </w:numPr>
        <w:rPr>
          <w:rFonts w:ascii="Arial" w:hAnsi="Arial" w:cs="Arial"/>
          <w:sz w:val="24"/>
        </w:rPr>
      </w:pPr>
      <w:r w:rsidRPr="00A37053">
        <w:rPr>
          <w:rFonts w:ascii="Arial" w:hAnsi="Arial" w:cs="Arial"/>
          <w:sz w:val="24"/>
        </w:rPr>
        <w:t>czy projekt uwzględnia kwestie bezpieczeństwa, w szczególności na rzecz niezmotoryzowanych uczestników ruchu (w tym kobiet).</w:t>
      </w:r>
    </w:p>
    <w:p w14:paraId="1495E30E" w14:textId="7BB9C056" w:rsidR="00C717DE" w:rsidRPr="0036456E" w:rsidRDefault="00C717DE" w:rsidP="00F96176">
      <w:pPr>
        <w:pStyle w:val="Default"/>
        <w:spacing w:before="240"/>
        <w:ind w:left="360"/>
        <w:rPr>
          <w:rFonts w:ascii="Arial" w:eastAsia="Times New Roman" w:hAnsi="Arial" w:cs="Arial"/>
          <w:color w:val="auto"/>
          <w:sz w:val="24"/>
        </w:rPr>
      </w:pPr>
      <w:r w:rsidRPr="00F96176">
        <w:rPr>
          <w:rFonts w:ascii="Arial" w:hAnsi="Arial" w:cs="Arial"/>
          <w:b/>
          <w:bCs/>
          <w:sz w:val="24"/>
        </w:rPr>
        <w:t>Ponadto w opisie należy przedstawić, czy projekt obejmuje następujące działania:</w:t>
      </w:r>
    </w:p>
    <w:p w14:paraId="0F56DAAF" w14:textId="2014A399" w:rsidR="00C717DE" w:rsidRPr="0036456E" w:rsidRDefault="00C717DE" w:rsidP="00C717DE">
      <w:pPr>
        <w:pStyle w:val="Default"/>
        <w:rPr>
          <w:rFonts w:ascii="Arial" w:eastAsia="Times New Roman" w:hAnsi="Arial" w:cs="Arial"/>
          <w:color w:val="auto"/>
          <w:sz w:val="24"/>
        </w:rPr>
      </w:pPr>
      <w:r>
        <w:rPr>
          <w:rFonts w:ascii="Arial" w:eastAsia="Calibri" w:hAnsi="Arial" w:cs="Arial"/>
          <w:sz w:val="24"/>
          <w:lang w:eastAsia="en-US"/>
        </w:rPr>
        <w:t xml:space="preserve">- </w:t>
      </w:r>
      <w:r w:rsidRPr="0036456E">
        <w:rPr>
          <w:rFonts w:ascii="Arial" w:eastAsia="Calibri" w:hAnsi="Arial" w:cs="Arial"/>
          <w:sz w:val="24"/>
          <w:lang w:eastAsia="en-US"/>
        </w:rPr>
        <w:t xml:space="preserve">Należy opisać, w jaki sposób Wnioskodawca zwiększy integrację i dostęp do różnych usług transportowych </w:t>
      </w:r>
      <w:r w:rsidRPr="0036456E">
        <w:rPr>
          <w:rFonts w:ascii="Arial" w:eastAsia="Times New Roman" w:hAnsi="Arial" w:cs="Arial"/>
          <w:color w:val="auto"/>
          <w:sz w:val="24"/>
        </w:rPr>
        <w:t xml:space="preserve">- transportu publicznego i transportu współdzielonego (np. rowery, skutery, hulajnogi, samochody, taxi) w jednej, wspólnej, cyfrowej usłudze, której trzonem są mobilność aktywna i efektywny system transportu publicznego. </w:t>
      </w:r>
    </w:p>
    <w:p w14:paraId="629CDD92" w14:textId="08E2D05D" w:rsidR="00C717DE" w:rsidRPr="0036456E" w:rsidRDefault="00C717DE" w:rsidP="00C717DE">
      <w:pPr>
        <w:pStyle w:val="Default"/>
        <w:rPr>
          <w:rFonts w:ascii="Arial" w:eastAsia="Times New Roman" w:hAnsi="Arial" w:cs="Arial"/>
          <w:color w:val="auto"/>
          <w:sz w:val="24"/>
        </w:rPr>
      </w:pPr>
      <w:r>
        <w:rPr>
          <w:rFonts w:ascii="Arial" w:eastAsia="Times New Roman" w:hAnsi="Arial" w:cs="Arial"/>
          <w:color w:val="auto"/>
          <w:sz w:val="24"/>
        </w:rPr>
        <w:t xml:space="preserve">- </w:t>
      </w:r>
      <w:r w:rsidRPr="0036456E">
        <w:rPr>
          <w:rFonts w:ascii="Arial" w:eastAsia="Times New Roman" w:hAnsi="Arial" w:cs="Arial"/>
          <w:color w:val="auto"/>
          <w:sz w:val="24"/>
        </w:rPr>
        <w:t xml:space="preserve">Należy opisać, </w:t>
      </w:r>
      <w:r>
        <w:rPr>
          <w:rFonts w:ascii="Arial" w:eastAsia="Times New Roman" w:hAnsi="Arial" w:cs="Arial"/>
          <w:color w:val="auto"/>
          <w:sz w:val="24"/>
        </w:rPr>
        <w:t>czy realizacja projektu</w:t>
      </w:r>
      <w:r w:rsidRPr="0036456E">
        <w:rPr>
          <w:rFonts w:ascii="Arial" w:eastAsia="Times New Roman" w:hAnsi="Arial" w:cs="Arial"/>
          <w:color w:val="auto"/>
          <w:sz w:val="24"/>
        </w:rPr>
        <w:t xml:space="preserve"> spowoduje objęcie świadczoną usługą przewozów pasażerskich obszarów (osiedle, dzielnica miasta, gmina z obszaru MOF) dotychczas nieobsługiwanych.</w:t>
      </w:r>
      <w:r w:rsidRPr="00D350E5">
        <w:rPr>
          <w:rFonts w:ascii="Arial" w:eastAsia="Times New Roman" w:hAnsi="Arial" w:cs="Arial"/>
          <w:color w:val="auto"/>
          <w:sz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</w:rPr>
        <w:t xml:space="preserve">Jeśli tak, należy wskazać w jaki sposób oraz </w:t>
      </w:r>
      <w:r w:rsidRPr="0036456E">
        <w:rPr>
          <w:rFonts w:ascii="Arial" w:eastAsia="Times New Roman" w:hAnsi="Arial" w:cs="Arial"/>
          <w:color w:val="auto"/>
          <w:sz w:val="24"/>
        </w:rPr>
        <w:t>przedstawić długość i trasę linii.</w:t>
      </w:r>
    </w:p>
    <w:p w14:paraId="0BF77883" w14:textId="0B7FDA51" w:rsidR="00C717DE" w:rsidRPr="000E794F" w:rsidRDefault="00C717DE" w:rsidP="00F96176">
      <w:pPr>
        <w:pStyle w:val="Default"/>
      </w:pPr>
      <w:r>
        <w:rPr>
          <w:rFonts w:ascii="Arial" w:eastAsia="Calibri" w:hAnsi="Arial" w:cs="Arial"/>
          <w:sz w:val="24"/>
          <w:lang w:eastAsia="en-US"/>
        </w:rPr>
        <w:t xml:space="preserve">- </w:t>
      </w:r>
      <w:r w:rsidRPr="000E794F">
        <w:rPr>
          <w:rFonts w:ascii="Arial" w:eastAsia="Calibri" w:hAnsi="Arial" w:cs="Arial"/>
          <w:sz w:val="24"/>
          <w:lang w:eastAsia="en-US"/>
        </w:rPr>
        <w:t xml:space="preserve">Należy </w:t>
      </w:r>
      <w:r>
        <w:rPr>
          <w:rFonts w:ascii="Arial" w:eastAsia="Calibri" w:hAnsi="Arial" w:cs="Arial"/>
          <w:sz w:val="24"/>
          <w:lang w:eastAsia="en-US"/>
        </w:rPr>
        <w:t>wskazać</w:t>
      </w:r>
      <w:r w:rsidRPr="000E794F">
        <w:rPr>
          <w:rFonts w:ascii="Arial" w:eastAsia="Calibri" w:hAnsi="Arial" w:cs="Arial"/>
          <w:sz w:val="24"/>
          <w:lang w:eastAsia="en-US"/>
        </w:rPr>
        <w:t>, c</w:t>
      </w:r>
      <w:r w:rsidRPr="000E794F">
        <w:rPr>
          <w:rFonts w:ascii="Arial" w:eastAsia="Times New Roman" w:hAnsi="Arial" w:cs="Arial"/>
          <w:sz w:val="24"/>
        </w:rPr>
        <w:t xml:space="preserve">zy Wnioskodawca przeprowadził konsultacje społeczne dotyczące zastosowania rozwiązań służących zwiększeniu dostępności transportu publicznego i mobilności dla osób ze szczególnymi potrzebami, w tym osób z </w:t>
      </w:r>
      <w:r>
        <w:rPr>
          <w:rFonts w:ascii="Arial" w:eastAsia="Times New Roman" w:hAnsi="Arial" w:cs="Arial"/>
          <w:color w:val="auto"/>
          <w:sz w:val="24"/>
        </w:rPr>
        <w:t>n</w:t>
      </w:r>
      <w:r w:rsidRPr="000E794F">
        <w:rPr>
          <w:rFonts w:ascii="Arial" w:eastAsia="Times New Roman" w:hAnsi="Arial" w:cs="Arial"/>
          <w:sz w:val="24"/>
        </w:rPr>
        <w:t xml:space="preserve">iepełnosprawnościami. </w:t>
      </w:r>
      <w:r>
        <w:rPr>
          <w:rFonts w:ascii="Arial" w:eastAsia="Times New Roman" w:hAnsi="Arial" w:cs="Arial"/>
          <w:color w:val="auto"/>
          <w:sz w:val="24"/>
        </w:rPr>
        <w:t xml:space="preserve">Jeśli tak, należy opisać sposób i proces prowadzenia konsultacji i przedstawić wyniki. </w:t>
      </w:r>
    </w:p>
    <w:p w14:paraId="2EE72B91" w14:textId="515A7B6B" w:rsidR="00C717DE" w:rsidRPr="00F96176" w:rsidRDefault="00C717DE" w:rsidP="00F96176">
      <w:pPr>
        <w:pStyle w:val="cel1"/>
        <w:tabs>
          <w:tab w:val="clear" w:pos="1134"/>
        </w:tabs>
        <w:ind w:left="9" w:hanging="9"/>
        <w:jc w:val="left"/>
        <w:rPr>
          <w:rFonts w:ascii="Arial" w:hAnsi="Arial" w:cs="Arial"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2055B8" w:rsidRPr="0036456E" w14:paraId="6D0B0439" w14:textId="77777777" w:rsidTr="00FF64E1">
        <w:tc>
          <w:tcPr>
            <w:tcW w:w="9973" w:type="dxa"/>
          </w:tcPr>
          <w:p w14:paraId="092B380E" w14:textId="7D185D08" w:rsidR="006A12B4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12" w:name="_Hlk156974412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2C7DB164" w14:textId="77777777" w:rsidR="00204732" w:rsidRPr="00F96176" w:rsidRDefault="00204732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2"/>
    </w:tbl>
    <w:p w14:paraId="7898ABBB" w14:textId="7C005013" w:rsidR="00926034" w:rsidRPr="00F96176" w:rsidRDefault="00926034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59E5BBB4" w14:textId="29ACFE68" w:rsidR="00747E21" w:rsidRPr="00F96176" w:rsidRDefault="00747E21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Zgodność projektu z dokumentami z zakresu planowania mobilności miejskiej</w:t>
      </w:r>
    </w:p>
    <w:p w14:paraId="309ACCC2" w14:textId="1D6915B1" w:rsidR="00747E21" w:rsidRPr="00F96176" w:rsidRDefault="00747E21" w:rsidP="00F96176">
      <w:pPr>
        <w:keepNext/>
        <w:tabs>
          <w:tab w:val="num" w:pos="0"/>
        </w:tabs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eastAsiaTheme="majorEastAsia" w:hAnsi="Arial" w:cs="Arial"/>
          <w:sz w:val="24"/>
          <w:szCs w:val="24"/>
        </w:rPr>
        <w:t xml:space="preserve">Należy </w:t>
      </w:r>
      <w:proofErr w:type="gramStart"/>
      <w:r w:rsidRPr="00F96176">
        <w:rPr>
          <w:rFonts w:ascii="Arial" w:eastAsiaTheme="majorEastAsia" w:hAnsi="Arial" w:cs="Arial"/>
          <w:sz w:val="24"/>
          <w:szCs w:val="24"/>
        </w:rPr>
        <w:t>opisać</w:t>
      </w:r>
      <w:proofErr w:type="gramEnd"/>
      <w:r w:rsidRPr="00F96176">
        <w:rPr>
          <w:rFonts w:ascii="Arial" w:eastAsiaTheme="majorEastAsia" w:hAnsi="Arial" w:cs="Arial"/>
          <w:sz w:val="24"/>
          <w:szCs w:val="24"/>
        </w:rPr>
        <w:t xml:space="preserve"> </w:t>
      </w:r>
      <w:r w:rsidRPr="00F96176">
        <w:rPr>
          <w:rFonts w:ascii="Arial" w:hAnsi="Arial" w:cs="Arial"/>
          <w:sz w:val="24"/>
          <w:szCs w:val="24"/>
        </w:rPr>
        <w:t>czy projekt jest zgodny z wymaganymi dokumentami z zakresu planowania mobilności miejskiej, określonymi w Umowie Partnerstwa, tj.:</w:t>
      </w:r>
      <w:r w:rsidR="006A1319">
        <w:rPr>
          <w:rFonts w:ascii="Arial" w:hAnsi="Arial" w:cs="Arial"/>
          <w:bCs/>
          <w:sz w:val="24"/>
          <w:szCs w:val="24"/>
        </w:rPr>
        <w:t xml:space="preserve"> </w:t>
      </w:r>
      <w:r w:rsidRPr="00F96176">
        <w:rPr>
          <w:rFonts w:ascii="Arial" w:hAnsi="Arial" w:cs="Arial"/>
          <w:bCs/>
          <w:sz w:val="24"/>
          <w:szCs w:val="24"/>
        </w:rPr>
        <w:t>w miastach wojewódzkich oraz w gminach położonych w ich miejskich obszarach funkcjonalnych – zgodność z Planem Zrównoważonej Mobilności Miejskiej (z ang. SUMP) przyjętym uchwałą właściwego organu,</w:t>
      </w:r>
    </w:p>
    <w:p w14:paraId="133D41AE" w14:textId="173FCE74" w:rsidR="008639B1" w:rsidRDefault="008639B1">
      <w:pPr>
        <w:keepNext/>
        <w:suppressAutoHyphens/>
        <w:spacing w:before="240" w:after="0" w:line="240" w:lineRule="auto"/>
        <w:ind w:left="178"/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t>Należy wskazać link do odpowiedniego dokumentu planowania mobilności oraz wskaz</w:t>
      </w:r>
      <w:r w:rsidR="000919CA">
        <w:rPr>
          <w:rFonts w:ascii="Arial" w:hAnsi="Arial" w:cs="Arial"/>
          <w:bCs/>
          <w:sz w:val="24"/>
          <w:szCs w:val="24"/>
        </w:rPr>
        <w:t>ać miejsce</w:t>
      </w:r>
      <w:r w:rsidRPr="00F96176">
        <w:rPr>
          <w:rFonts w:ascii="Arial" w:hAnsi="Arial" w:cs="Arial"/>
          <w:bCs/>
          <w:sz w:val="24"/>
          <w:szCs w:val="24"/>
        </w:rPr>
        <w:t xml:space="preserve"> ujęcia w nim projektu oraz wykaza</w:t>
      </w:r>
      <w:r w:rsidR="000919CA">
        <w:rPr>
          <w:rFonts w:ascii="Arial" w:hAnsi="Arial" w:cs="Arial"/>
          <w:bCs/>
          <w:sz w:val="24"/>
          <w:szCs w:val="24"/>
        </w:rPr>
        <w:t>ć</w:t>
      </w:r>
      <w:r w:rsidRPr="00F96176">
        <w:rPr>
          <w:rFonts w:ascii="Arial" w:hAnsi="Arial" w:cs="Arial"/>
          <w:bCs/>
          <w:sz w:val="24"/>
          <w:szCs w:val="24"/>
        </w:rPr>
        <w:t xml:space="preserve"> spójnoś</w:t>
      </w:r>
      <w:r w:rsidR="000919CA">
        <w:rPr>
          <w:rFonts w:ascii="Arial" w:hAnsi="Arial" w:cs="Arial"/>
          <w:bCs/>
          <w:sz w:val="24"/>
          <w:szCs w:val="24"/>
        </w:rPr>
        <w:t>ć</w:t>
      </w:r>
      <w:r w:rsidRPr="00F96176">
        <w:rPr>
          <w:rFonts w:ascii="Arial" w:hAnsi="Arial" w:cs="Arial"/>
          <w:bCs/>
          <w:sz w:val="24"/>
          <w:szCs w:val="24"/>
        </w:rPr>
        <w:t xml:space="preserve"> planowanej inwestycji z zapisami tegoż dokumentu.</w:t>
      </w:r>
    </w:p>
    <w:p w14:paraId="7E95DAD6" w14:textId="77777777" w:rsidR="00157C75" w:rsidRPr="00F96176" w:rsidRDefault="00157C75" w:rsidP="00F96176">
      <w:pPr>
        <w:keepNext/>
        <w:suppressAutoHyphens/>
        <w:spacing w:before="240" w:after="0" w:line="240" w:lineRule="auto"/>
        <w:ind w:left="178"/>
        <w:outlineLvl w:val="3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157C75" w:rsidRPr="0036456E" w14:paraId="6DD0BDF7" w14:textId="77777777" w:rsidTr="000E794F">
        <w:tc>
          <w:tcPr>
            <w:tcW w:w="9973" w:type="dxa"/>
          </w:tcPr>
          <w:p w14:paraId="481DD99D" w14:textId="77777777" w:rsidR="00157C75" w:rsidRPr="000E794F" w:rsidRDefault="00157C75" w:rsidP="000E794F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0E794F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3C323965" w14:textId="77777777" w:rsidR="00157C75" w:rsidRPr="000E794F" w:rsidRDefault="00157C75" w:rsidP="000E794F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D60433" w14:textId="0EF3AAEC" w:rsidR="00747E21" w:rsidRPr="00F96176" w:rsidRDefault="00747E21" w:rsidP="00F96176">
      <w:pPr>
        <w:pStyle w:val="Akapitzlist"/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71EEF1B8" w14:textId="3D10360B" w:rsidR="00C87802" w:rsidRPr="00F96176" w:rsidRDefault="00C87802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sz w:val="24"/>
          <w:szCs w:val="24"/>
        </w:rPr>
        <w:t>Ocena Planu Zrównoważonej Mobilności Miejskiej (z ang. SUMP) (jeśli dotyczy)</w:t>
      </w:r>
    </w:p>
    <w:p w14:paraId="04EE8A33" w14:textId="05E00758" w:rsidR="00C87802" w:rsidRDefault="00C87802">
      <w:pPr>
        <w:keepNext/>
        <w:spacing w:line="240" w:lineRule="auto"/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lastRenderedPageBreak/>
        <w:t xml:space="preserve">Należy opisać, czy Plan Zrównoważonej Mobilności Miejskiej (z ang. SUMP) uzyskał, w wyniku sprawdzania przez Centrum Unijnych Projektów Transportowych, ocenę „pozytywną” lub </w:t>
      </w:r>
      <w:bookmarkStart w:id="13" w:name="_Hlk199421668"/>
      <w:r w:rsidRPr="00F96176">
        <w:rPr>
          <w:rFonts w:ascii="Arial" w:hAnsi="Arial" w:cs="Arial"/>
          <w:bCs/>
          <w:sz w:val="24"/>
          <w:szCs w:val="24"/>
        </w:rPr>
        <w:t xml:space="preserve">ocenę „pozytywną z rekomendacjami” </w:t>
      </w:r>
      <w:bookmarkEnd w:id="13"/>
      <w:r w:rsidRPr="00F96176">
        <w:rPr>
          <w:rFonts w:ascii="Arial" w:hAnsi="Arial" w:cs="Arial"/>
          <w:bCs/>
          <w:sz w:val="24"/>
          <w:szCs w:val="24"/>
        </w:rPr>
        <w:t xml:space="preserve">w zakresie zgodności z 8 zasadami ujętymi w Komunikacie Komisji Europejskiej do Parlamentu Europejskiego, Rady Europejskiego Komitetu Ekonomiczno-Społecznego i Komitetu Regionów z 17.12.2013 r. „Wspólne dążenie do osiągnięcia konkurencyjnej i </w:t>
      </w:r>
      <w:proofErr w:type="spellStart"/>
      <w:r w:rsidRPr="00F96176">
        <w:rPr>
          <w:rFonts w:ascii="Arial" w:hAnsi="Arial" w:cs="Arial"/>
          <w:bCs/>
          <w:sz w:val="24"/>
          <w:szCs w:val="24"/>
        </w:rPr>
        <w:t>zasobooszczędnej</w:t>
      </w:r>
      <w:proofErr w:type="spellEnd"/>
      <w:r w:rsidRPr="00F96176">
        <w:rPr>
          <w:rFonts w:ascii="Arial" w:hAnsi="Arial" w:cs="Arial"/>
          <w:bCs/>
          <w:sz w:val="24"/>
          <w:szCs w:val="24"/>
        </w:rPr>
        <w:t xml:space="preserve"> mobilności” COM (2013) 913 Załącznik 1 – Koncepcja dotycząca planów mobilności w miastach zgodnej z zasadami zrównoważonego rozwoju.</w:t>
      </w:r>
    </w:p>
    <w:p w14:paraId="0E2E8766" w14:textId="7FB28815" w:rsidR="00157C75" w:rsidRPr="00F96176" w:rsidRDefault="00157C75" w:rsidP="00F96176">
      <w:pPr>
        <w:keepNext/>
        <w:spacing w:line="240" w:lineRule="auto"/>
        <w:outlineLvl w:val="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Jeśli SUM</w:t>
      </w:r>
      <w:r w:rsidR="00D46CB2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 xml:space="preserve"> otrzymał </w:t>
      </w:r>
      <w:r w:rsidRPr="000E794F">
        <w:rPr>
          <w:rFonts w:ascii="Arial" w:hAnsi="Arial" w:cs="Arial"/>
          <w:bCs/>
          <w:sz w:val="24"/>
          <w:szCs w:val="24"/>
        </w:rPr>
        <w:t>ocenę „pozytywną z rekomendacjami”</w:t>
      </w:r>
      <w:r>
        <w:rPr>
          <w:rFonts w:ascii="Arial" w:hAnsi="Arial" w:cs="Arial"/>
          <w:bCs/>
          <w:sz w:val="24"/>
          <w:szCs w:val="24"/>
        </w:rPr>
        <w:t xml:space="preserve"> należy przedstawić rekomendacje.</w:t>
      </w:r>
    </w:p>
    <w:p w14:paraId="7414AA4C" w14:textId="536678E1" w:rsidR="0080095D" w:rsidRPr="00F96176" w:rsidRDefault="0080095D" w:rsidP="007A20B8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D687F" w:rsidRPr="0036456E" w14:paraId="16401235" w14:textId="77777777" w:rsidTr="00FF64E1">
        <w:tc>
          <w:tcPr>
            <w:tcW w:w="9973" w:type="dxa"/>
          </w:tcPr>
          <w:p w14:paraId="749F3157" w14:textId="0D1B99F4" w:rsidR="009D687F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1A34CA86" w14:textId="77777777" w:rsidR="009D687F" w:rsidRPr="00F96176" w:rsidRDefault="009D687F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764A2A27" w14:textId="77777777" w:rsidR="009D687F" w:rsidRPr="00F96176" w:rsidRDefault="009D687F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3F4559" w14:textId="77777777" w:rsidR="0035090C" w:rsidRPr="00F96176" w:rsidRDefault="0035090C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0D3C060B" w14:textId="26C86CCA" w:rsidR="00C87802" w:rsidRPr="00F96176" w:rsidRDefault="00C87802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>Uchwalenie SUMP przez rady gmin zaangażowane w proces (jeśli dotyczy)</w:t>
      </w:r>
    </w:p>
    <w:p w14:paraId="3F9DC0A3" w14:textId="6D892036" w:rsidR="00C87802" w:rsidRPr="00F96176" w:rsidRDefault="00C87802" w:rsidP="00F96176">
      <w:pPr>
        <w:keepNext/>
        <w:spacing w:line="240" w:lineRule="auto"/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t>Należy opisać</w:t>
      </w:r>
      <w:r w:rsidR="008C7EAC" w:rsidRPr="00F96176">
        <w:rPr>
          <w:rFonts w:ascii="Arial" w:hAnsi="Arial" w:cs="Arial"/>
          <w:bCs/>
          <w:sz w:val="24"/>
          <w:szCs w:val="24"/>
        </w:rPr>
        <w:t>,</w:t>
      </w:r>
      <w:r w:rsidRPr="00F96176">
        <w:rPr>
          <w:rFonts w:ascii="Arial" w:hAnsi="Arial" w:cs="Arial"/>
          <w:bCs/>
          <w:sz w:val="24"/>
          <w:szCs w:val="24"/>
        </w:rPr>
        <w:t xml:space="preserve"> </w:t>
      </w:r>
      <w:r w:rsidR="00A32C21" w:rsidRPr="00F96176">
        <w:rPr>
          <w:rFonts w:ascii="Arial" w:hAnsi="Arial" w:cs="Arial"/>
          <w:bCs/>
          <w:sz w:val="24"/>
          <w:szCs w:val="24"/>
        </w:rPr>
        <w:t xml:space="preserve">czy </w:t>
      </w:r>
      <w:r w:rsidR="00FE1529" w:rsidRPr="00F96176">
        <w:rPr>
          <w:rFonts w:ascii="Arial" w:hAnsi="Arial" w:cs="Arial"/>
          <w:bCs/>
          <w:sz w:val="24"/>
          <w:szCs w:val="24"/>
        </w:rPr>
        <w:t>SUMP został uchwalony przez wszystkie właściwe gminy przed złożeniem wniosku o dofinansowanie</w:t>
      </w:r>
      <w:r w:rsidR="00A32C21" w:rsidRPr="00F96176">
        <w:rPr>
          <w:rFonts w:ascii="Arial" w:hAnsi="Arial" w:cs="Arial"/>
          <w:bCs/>
          <w:sz w:val="24"/>
          <w:szCs w:val="24"/>
        </w:rPr>
        <w:t xml:space="preserve"> lub udokumentowane oświadczeniem założenie przyjęcia SUMP przez gminy zaangażowane w proces odpowiednimi uchwałami ich rad, przed podpisaniem umowy o dofinansowanie projektu.</w:t>
      </w:r>
    </w:p>
    <w:p w14:paraId="75EBECB9" w14:textId="37BFFBA1" w:rsidR="00A32C21" w:rsidRPr="00F96176" w:rsidRDefault="00A32C21" w:rsidP="00F96176">
      <w:pPr>
        <w:keepNext/>
        <w:spacing w:line="240" w:lineRule="auto"/>
        <w:outlineLvl w:val="3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t xml:space="preserve">Należy </w:t>
      </w:r>
      <w:proofErr w:type="gramStart"/>
      <w:r w:rsidRPr="00F96176">
        <w:rPr>
          <w:rFonts w:ascii="Arial" w:hAnsi="Arial" w:cs="Arial"/>
          <w:bCs/>
          <w:sz w:val="24"/>
          <w:szCs w:val="24"/>
        </w:rPr>
        <w:t>przedstawić  deklarację</w:t>
      </w:r>
      <w:proofErr w:type="gramEnd"/>
      <w:r w:rsidRPr="00F96176">
        <w:rPr>
          <w:rFonts w:ascii="Arial" w:hAnsi="Arial" w:cs="Arial"/>
          <w:bCs/>
          <w:sz w:val="24"/>
          <w:szCs w:val="24"/>
        </w:rPr>
        <w:t>/oświadczenie każdej z gmin lub odpowiednich zapisów w przyjętych dokumentach regulujących zasady współpracy i podział obowiązków pomiędzy podmiotami zaangażowanymi w opracowanie SUMP.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5F68C7" w:rsidRPr="0036456E" w14:paraId="5895C2AE" w14:textId="77777777" w:rsidTr="00FF64E1">
        <w:tc>
          <w:tcPr>
            <w:tcW w:w="9973" w:type="dxa"/>
          </w:tcPr>
          <w:p w14:paraId="3B8CD45A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7581865F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050CD6B6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905F4A" w14:textId="77777777" w:rsidR="005F68C7" w:rsidRPr="00F96176" w:rsidRDefault="005F68C7" w:rsidP="00736F05">
      <w:pPr>
        <w:pStyle w:val="Default"/>
        <w:spacing w:beforeLines="60" w:before="144" w:afterLines="60" w:after="144"/>
        <w:ind w:left="324" w:hanging="142"/>
        <w:rPr>
          <w:rFonts w:ascii="Arial" w:hAnsi="Arial" w:cs="Arial"/>
          <w:sz w:val="24"/>
        </w:rPr>
      </w:pPr>
    </w:p>
    <w:p w14:paraId="3844BC82" w14:textId="7288C857" w:rsidR="00B27640" w:rsidRPr="00FE629B" w:rsidRDefault="00B27640" w:rsidP="00FE629B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 xml:space="preserve">Zgodność z wymogami „ekologicznie czystych pojazdów” w rozumieniu Dyrektywy </w:t>
      </w:r>
      <w:r w:rsidR="00FE629B">
        <w:rPr>
          <w:rFonts w:ascii="Arial" w:eastAsiaTheme="majorEastAsia" w:hAnsi="Arial" w:cs="Arial"/>
          <w:b/>
          <w:bCs/>
          <w:sz w:val="24"/>
          <w:szCs w:val="24"/>
        </w:rPr>
        <w:t>(UE) 2019/1161 (</w:t>
      </w:r>
      <w:r w:rsidRPr="00FE629B">
        <w:rPr>
          <w:rFonts w:ascii="Arial" w:eastAsiaTheme="majorEastAsia" w:hAnsi="Arial" w:cs="Arial"/>
          <w:b/>
          <w:bCs/>
          <w:sz w:val="24"/>
          <w:szCs w:val="24"/>
        </w:rPr>
        <w:t>jeśli d</w:t>
      </w:r>
      <w:r w:rsidR="00FE629B">
        <w:rPr>
          <w:rFonts w:ascii="Arial" w:eastAsiaTheme="majorEastAsia" w:hAnsi="Arial" w:cs="Arial"/>
          <w:b/>
          <w:bCs/>
          <w:sz w:val="24"/>
          <w:szCs w:val="24"/>
        </w:rPr>
        <w:t>o</w:t>
      </w:r>
      <w:r w:rsidRPr="00FE629B">
        <w:rPr>
          <w:rFonts w:ascii="Arial" w:eastAsiaTheme="majorEastAsia" w:hAnsi="Arial" w:cs="Arial"/>
          <w:b/>
          <w:bCs/>
          <w:sz w:val="24"/>
          <w:szCs w:val="24"/>
        </w:rPr>
        <w:t>tyczy)</w:t>
      </w:r>
    </w:p>
    <w:p w14:paraId="48B3FEF2" w14:textId="0EBF5B9A" w:rsidR="00B27640" w:rsidRPr="00F96176" w:rsidRDefault="00B27640" w:rsidP="00FE629B">
      <w:pPr>
        <w:pStyle w:val="Default"/>
        <w:spacing w:beforeLines="60" w:before="144" w:afterLines="60" w:after="144"/>
        <w:rPr>
          <w:rFonts w:ascii="Arial" w:eastAsia="Times New Roman" w:hAnsi="Arial" w:cs="Arial"/>
          <w:bCs/>
          <w:color w:val="auto"/>
          <w:sz w:val="24"/>
          <w:lang w:eastAsia="ar-SA"/>
        </w:rPr>
      </w:pPr>
      <w:r w:rsidRPr="00FE629B">
        <w:rPr>
          <w:rFonts w:ascii="Arial" w:hAnsi="Arial" w:cs="Arial"/>
          <w:bCs/>
          <w:sz w:val="24"/>
        </w:rPr>
        <w:t xml:space="preserve">Należy </w:t>
      </w:r>
      <w:r w:rsidR="00FE629B">
        <w:rPr>
          <w:rFonts w:ascii="Arial" w:hAnsi="Arial" w:cs="Arial"/>
          <w:bCs/>
          <w:sz w:val="24"/>
        </w:rPr>
        <w:t>wykazać, że</w:t>
      </w:r>
      <w:r w:rsidR="00FE629B" w:rsidRPr="00FE629B">
        <w:rPr>
          <w:rFonts w:ascii="Arial" w:hAnsi="Arial" w:cs="Arial"/>
          <w:bCs/>
          <w:sz w:val="24"/>
        </w:rPr>
        <w:t xml:space="preserve"> zakupione pojazdy na potrzeby publicznego transportu zbiorowego spełnią wymogi „ekologicznie czystych pojazdów” w rozumieniu Dyrektywy Parlamentu Europejskiego i Rady (UE) 2019/1161 z dnia 20 czerwca 2019, zmieniającej dyrektywę 2009/33/WE w sprawie promowania ekologicznie czystych i energooszczędnych pojazdów transportu drogowego</w:t>
      </w:r>
      <w:r w:rsidRPr="00F96176">
        <w:rPr>
          <w:rFonts w:ascii="Arial" w:hAnsi="Arial" w:cs="Arial"/>
          <w:bCs/>
          <w:sz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5F68C7" w:rsidRPr="0036456E" w14:paraId="255B6B0F" w14:textId="77777777" w:rsidTr="00442FCA">
        <w:tc>
          <w:tcPr>
            <w:tcW w:w="9068" w:type="dxa"/>
          </w:tcPr>
          <w:p w14:paraId="4E00474D" w14:textId="728A5F0F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7BBC2FA2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7D7C51CF" w14:textId="77777777" w:rsidR="005F68C7" w:rsidRPr="00F96176" w:rsidRDefault="005F68C7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E3C1D4" w14:textId="77777777" w:rsidR="005F68C7" w:rsidRPr="00F96176" w:rsidRDefault="005F68C7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5606452D" w14:textId="138ACB11" w:rsidR="00B27640" w:rsidRPr="00F96176" w:rsidRDefault="00B27640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lastRenderedPageBreak/>
        <w:t>Obiekty „</w:t>
      </w:r>
      <w:proofErr w:type="spellStart"/>
      <w:r w:rsidRPr="00F96176">
        <w:rPr>
          <w:rFonts w:ascii="Arial" w:hAnsi="Arial" w:cs="Arial"/>
          <w:b/>
          <w:bCs/>
          <w:sz w:val="24"/>
          <w:szCs w:val="24"/>
        </w:rPr>
        <w:t>Park&amp;Ride</w:t>
      </w:r>
      <w:proofErr w:type="spellEnd"/>
      <w:r w:rsidRPr="00F96176">
        <w:rPr>
          <w:rFonts w:ascii="Arial" w:hAnsi="Arial" w:cs="Arial"/>
          <w:b/>
          <w:bCs/>
          <w:sz w:val="24"/>
          <w:szCs w:val="24"/>
        </w:rPr>
        <w:t>” P&amp;R (parkuj i jedź) (jeśli dotyczy)</w:t>
      </w:r>
    </w:p>
    <w:p w14:paraId="33AF5695" w14:textId="663A5148" w:rsidR="008C7EAC" w:rsidRPr="00F96176" w:rsidRDefault="008C7EAC" w:rsidP="00F96176">
      <w:pPr>
        <w:keepNext/>
        <w:tabs>
          <w:tab w:val="num" w:pos="0"/>
        </w:tabs>
        <w:spacing w:line="240" w:lineRule="auto"/>
        <w:outlineLvl w:val="3"/>
        <w:rPr>
          <w:rFonts w:ascii="Arial" w:hAnsi="Arial" w:cs="Arial"/>
          <w:sz w:val="24"/>
          <w:szCs w:val="24"/>
        </w:rPr>
      </w:pPr>
      <w:r w:rsidRPr="00F96176">
        <w:rPr>
          <w:rFonts w:ascii="Arial" w:eastAsiaTheme="majorEastAsia" w:hAnsi="Arial" w:cs="Arial"/>
          <w:sz w:val="24"/>
          <w:szCs w:val="24"/>
        </w:rPr>
        <w:t xml:space="preserve">Należy </w:t>
      </w:r>
      <w:r w:rsidR="00157C75">
        <w:rPr>
          <w:rFonts w:ascii="Arial" w:eastAsiaTheme="majorEastAsia" w:hAnsi="Arial" w:cs="Arial"/>
          <w:sz w:val="24"/>
          <w:szCs w:val="24"/>
        </w:rPr>
        <w:t>opis</w:t>
      </w:r>
      <w:r w:rsidR="008056EA">
        <w:rPr>
          <w:rFonts w:ascii="Arial" w:eastAsiaTheme="majorEastAsia" w:hAnsi="Arial" w:cs="Arial"/>
          <w:sz w:val="24"/>
          <w:szCs w:val="24"/>
        </w:rPr>
        <w:t xml:space="preserve">ać, </w:t>
      </w:r>
      <w:r w:rsidR="00157C75">
        <w:rPr>
          <w:rFonts w:ascii="Arial" w:eastAsiaTheme="majorEastAsia" w:hAnsi="Arial" w:cs="Arial"/>
          <w:sz w:val="24"/>
          <w:szCs w:val="24"/>
        </w:rPr>
        <w:t>czy</w:t>
      </w:r>
      <w:r w:rsidRPr="00F96176">
        <w:rPr>
          <w:rFonts w:ascii="Arial" w:eastAsiaTheme="majorEastAsia" w:hAnsi="Arial" w:cs="Arial"/>
          <w:sz w:val="24"/>
          <w:szCs w:val="24"/>
        </w:rPr>
        <w:t xml:space="preserve"> obiekty </w:t>
      </w:r>
      <w:r w:rsidRPr="00F96176">
        <w:rPr>
          <w:rFonts w:ascii="Arial" w:hAnsi="Arial" w:cs="Arial"/>
          <w:sz w:val="24"/>
          <w:szCs w:val="24"/>
        </w:rPr>
        <w:t>P&amp;R (parkuj i jedź) objęte projektem zlokalizowane są/będą poza centrami miast oraz czy jest zapewniona odpowiednia integracja z publicznym transportem zbiorowym.</w:t>
      </w:r>
    </w:p>
    <w:p w14:paraId="20EE99E7" w14:textId="77777777" w:rsidR="00B27640" w:rsidRPr="00F96176" w:rsidRDefault="00B27640" w:rsidP="00F96176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4163A8" w:rsidRPr="0036456E" w14:paraId="6FA1A1AA" w14:textId="77777777" w:rsidTr="00FF64E1">
        <w:tc>
          <w:tcPr>
            <w:tcW w:w="9973" w:type="dxa"/>
          </w:tcPr>
          <w:p w14:paraId="26499908" w14:textId="77777777" w:rsidR="004163A8" w:rsidRPr="00F96176" w:rsidRDefault="004163A8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14" w:name="_Hlk180412555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70808F76" w14:textId="77777777" w:rsidR="004163A8" w:rsidRPr="00F96176" w:rsidRDefault="004163A8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0F0C8D9E" w14:textId="77777777" w:rsidR="004163A8" w:rsidRPr="00F96176" w:rsidRDefault="004163A8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4"/>
    </w:tbl>
    <w:p w14:paraId="33653A2A" w14:textId="77777777" w:rsidR="009D687F" w:rsidRPr="00F96176" w:rsidRDefault="009D687F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733D93FB" w14:textId="6DFB63F8" w:rsidR="003937A3" w:rsidRPr="00F96176" w:rsidRDefault="008C7EAC" w:rsidP="00C8614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Lines="60" w:before="144" w:afterLines="60" w:after="144" w:line="240" w:lineRule="auto"/>
        <w:contextualSpacing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F96176">
        <w:rPr>
          <w:rFonts w:ascii="Arial" w:hAnsi="Arial" w:cs="Arial"/>
          <w:b/>
          <w:bCs/>
          <w:sz w:val="24"/>
          <w:szCs w:val="24"/>
        </w:rPr>
        <w:t xml:space="preserve">Wsparcie infrastruktury </w:t>
      </w:r>
      <w:r w:rsidR="00A65638" w:rsidRPr="00F96176">
        <w:rPr>
          <w:rFonts w:ascii="Arial" w:hAnsi="Arial" w:cs="Arial"/>
          <w:b/>
          <w:bCs/>
          <w:sz w:val="24"/>
          <w:szCs w:val="24"/>
        </w:rPr>
        <w:t xml:space="preserve">do ładowania i tankowania pojazdów zeroemisyjnych dla użytkowników indywidualnych </w:t>
      </w:r>
      <w:r w:rsidRPr="00F96176">
        <w:rPr>
          <w:rFonts w:ascii="Arial" w:hAnsi="Arial" w:cs="Arial"/>
          <w:b/>
          <w:bCs/>
          <w:sz w:val="24"/>
          <w:szCs w:val="24"/>
        </w:rPr>
        <w:t>(jeśli dotyczy)</w:t>
      </w:r>
    </w:p>
    <w:p w14:paraId="6E6C1997" w14:textId="77777777" w:rsidR="003937A3" w:rsidRPr="003937A3" w:rsidRDefault="003937A3" w:rsidP="00F96176">
      <w:pPr>
        <w:pStyle w:val="Akapitzlist"/>
        <w:autoSpaceDE w:val="0"/>
        <w:autoSpaceDN w:val="0"/>
        <w:adjustRightInd w:val="0"/>
        <w:spacing w:beforeLines="60" w:before="144" w:afterLines="60" w:after="144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3937A3">
        <w:rPr>
          <w:rFonts w:ascii="Arial" w:eastAsia="Times New Roman" w:hAnsi="Arial" w:cs="Arial"/>
          <w:sz w:val="24"/>
          <w:szCs w:val="24"/>
          <w:lang w:eastAsia="ar-SA"/>
        </w:rPr>
        <w:t xml:space="preserve">Należy wykazać, że </w:t>
      </w:r>
      <w:r w:rsidRPr="003937A3">
        <w:rPr>
          <w:rFonts w:ascii="Arial" w:hAnsi="Arial" w:cs="Arial"/>
          <w:bCs/>
          <w:sz w:val="24"/>
          <w:szCs w:val="24"/>
        </w:rPr>
        <w:t>projekt dotyczący budowy lub rozbudowy infrastruktury do ładowania i tankowania pojazdów zeroemisyjnych dla użytkowników indywidualnych zapewni niedyskryminacyjny dostęp dla wszystkich użytkowników.</w:t>
      </w:r>
    </w:p>
    <w:p w14:paraId="441EB59C" w14:textId="77777777" w:rsidR="003937A3" w:rsidRPr="003937A3" w:rsidRDefault="003937A3" w:rsidP="00F96176">
      <w:pPr>
        <w:pStyle w:val="Akapitzlist"/>
        <w:autoSpaceDE w:val="0"/>
        <w:autoSpaceDN w:val="0"/>
        <w:adjustRightInd w:val="0"/>
        <w:spacing w:beforeLines="60" w:before="144" w:afterLines="60" w:after="144" w:line="240" w:lineRule="auto"/>
        <w:ind w:left="360"/>
        <w:rPr>
          <w:rFonts w:ascii="Arial" w:eastAsia="Times New Roman" w:hAnsi="Arial" w:cs="Arial"/>
          <w:sz w:val="24"/>
          <w:szCs w:val="24"/>
          <w:lang w:eastAsia="ar-SA"/>
        </w:rPr>
      </w:pPr>
      <w:r w:rsidRPr="003937A3">
        <w:rPr>
          <w:rFonts w:ascii="Arial" w:hAnsi="Arial" w:cs="Arial"/>
          <w:bCs/>
          <w:sz w:val="24"/>
          <w:szCs w:val="24"/>
        </w:rPr>
        <w:t>Należy wykazać, że nie ma możliwości finansowania inwestycji ze źródeł prywatnych.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937A3" w:rsidRPr="0036456E" w14:paraId="258E3DEF" w14:textId="77777777" w:rsidTr="0056236E">
        <w:tc>
          <w:tcPr>
            <w:tcW w:w="9068" w:type="dxa"/>
          </w:tcPr>
          <w:p w14:paraId="6929EFF8" w14:textId="77777777" w:rsidR="003937A3" w:rsidRPr="0056236E" w:rsidRDefault="003937A3" w:rsidP="0056236E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5623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08E7F62E" w14:textId="77777777" w:rsidR="003937A3" w:rsidRPr="0056236E" w:rsidRDefault="003937A3" w:rsidP="0056236E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45DC0A91" w14:textId="77777777" w:rsidR="003937A3" w:rsidRPr="0056236E" w:rsidRDefault="003937A3" w:rsidP="0056236E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E5B96D" w14:textId="3A78DB39" w:rsidR="00F12C86" w:rsidRPr="0080095D" w:rsidRDefault="00F12C86" w:rsidP="003937A3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F12C86">
        <w:rPr>
          <w:rFonts w:ascii="Arial" w:eastAsiaTheme="majorEastAsia" w:hAnsi="Arial" w:cs="Arial"/>
          <w:b/>
          <w:bCs/>
        </w:rPr>
        <w:t>Zgodność projektu z obowiązującą Strategią ZIT</w:t>
      </w:r>
    </w:p>
    <w:p w14:paraId="786E3CD0" w14:textId="489D88DE" w:rsidR="003937A3" w:rsidRPr="00E30A17" w:rsidRDefault="003937A3" w:rsidP="00F96176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ind w:left="360"/>
        <w:rPr>
          <w:rFonts w:ascii="Arial" w:eastAsia="Times New Roman" w:hAnsi="Arial" w:cs="Arial"/>
          <w:color w:val="auto"/>
          <w:szCs w:val="22"/>
          <w:lang w:eastAsia="ar-SA"/>
        </w:rPr>
      </w:pPr>
      <w:r w:rsidRPr="00293BAE">
        <w:rPr>
          <w:rFonts w:ascii="Arial" w:eastAsia="Calibri" w:hAnsi="Arial" w:cs="Arial"/>
          <w:szCs w:val="22"/>
          <w:lang w:eastAsia="en-US"/>
        </w:rPr>
        <w:t>Należy uzasadnić zgodność projektu z</w:t>
      </w:r>
      <w:r w:rsidRPr="00E30A17">
        <w:rPr>
          <w:rFonts w:ascii="Arial" w:eastAsia="Times New Roman" w:hAnsi="Arial" w:cs="Arial"/>
          <w:lang w:eastAsia="ar-SA"/>
        </w:rPr>
        <w:t xml:space="preserve"> </w:t>
      </w:r>
      <w:r w:rsidRPr="00E30A17">
        <w:rPr>
          <w:rFonts w:ascii="Arial" w:eastAsia="Times New Roman" w:hAnsi="Arial" w:cs="Arial"/>
          <w:color w:val="auto"/>
          <w:szCs w:val="22"/>
          <w:lang w:eastAsia="ar-SA"/>
        </w:rPr>
        <w:t xml:space="preserve">obowiązującą Strategią </w:t>
      </w:r>
      <w:r>
        <w:rPr>
          <w:rFonts w:ascii="Arial" w:eastAsia="Times New Roman" w:hAnsi="Arial" w:cs="Arial"/>
          <w:color w:val="auto"/>
          <w:szCs w:val="22"/>
          <w:lang w:eastAsia="ar-SA"/>
        </w:rPr>
        <w:t>Rozwoju Białostockiego Obszaru Funkcjonalnego do 2030 roku</w:t>
      </w:r>
      <w:r w:rsidRPr="00E30A17">
        <w:rPr>
          <w:rFonts w:ascii="Arial" w:eastAsia="Times New Roman" w:hAnsi="Arial" w:cs="Arial"/>
          <w:color w:val="auto"/>
          <w:szCs w:val="22"/>
          <w:lang w:eastAsia="ar-SA"/>
        </w:rPr>
        <w:t>, pozytywnie zaopiniowaną zgodnie z art. 34 ust. 6 pkt. 2 ustawy o zasadach realizacji zadań finansowanych ze środków europejskich w perspektywie finansowej 2021-2027</w:t>
      </w:r>
      <w:r>
        <w:rPr>
          <w:rFonts w:ascii="Arial" w:eastAsia="Times New Roman" w:hAnsi="Arial" w:cs="Arial"/>
          <w:color w:val="auto"/>
          <w:szCs w:val="22"/>
          <w:lang w:eastAsia="ar-SA"/>
        </w:rPr>
        <w:t xml:space="preserve">. </w:t>
      </w:r>
      <w:r w:rsidRPr="00B03413">
        <w:rPr>
          <w:rFonts w:ascii="Arial" w:eastAsia="Times New Roman" w:hAnsi="Arial" w:cs="Arial"/>
          <w:color w:val="auto"/>
          <w:szCs w:val="22"/>
          <w:lang w:eastAsia="ar-SA"/>
        </w:rPr>
        <w:t xml:space="preserve">Należy wskazać, czy projekt jest ujęty na liście projektów realizujących cele Strategii oraz przewidziany do dofinansowania w </w:t>
      </w:r>
      <w:proofErr w:type="spellStart"/>
      <w:r w:rsidRPr="00B03413">
        <w:rPr>
          <w:rFonts w:ascii="Arial" w:eastAsia="Times New Roman" w:hAnsi="Arial" w:cs="Arial"/>
          <w:color w:val="auto"/>
          <w:szCs w:val="22"/>
          <w:lang w:eastAsia="ar-SA"/>
        </w:rPr>
        <w:t>FEdP</w:t>
      </w:r>
      <w:proofErr w:type="spellEnd"/>
      <w:r w:rsidRPr="00B03413">
        <w:rPr>
          <w:rFonts w:ascii="Arial" w:eastAsia="Times New Roman" w:hAnsi="Arial" w:cs="Arial"/>
          <w:color w:val="auto"/>
          <w:szCs w:val="22"/>
          <w:lang w:eastAsia="ar-SA"/>
        </w:rPr>
        <w:t xml:space="preserve">. </w:t>
      </w:r>
      <w:r>
        <w:rPr>
          <w:rFonts w:ascii="Arial" w:eastAsia="Times New Roman" w:hAnsi="Arial" w:cs="Arial"/>
          <w:color w:val="auto"/>
          <w:szCs w:val="22"/>
          <w:lang w:eastAsia="ar-SA"/>
        </w:rPr>
        <w:t xml:space="preserve">Należy opisać, jak </w:t>
      </w:r>
      <w:r w:rsidRPr="00042EC8">
        <w:rPr>
          <w:rFonts w:ascii="Arial" w:eastAsia="Times New Roman" w:hAnsi="Arial" w:cs="Arial"/>
          <w:color w:val="auto"/>
          <w:szCs w:val="22"/>
          <w:lang w:eastAsia="ar-SA"/>
        </w:rPr>
        <w:t>projekt wpisuje się w cele strategiczne i kierunki działań określone w obowiązującej odpowiedniej Strategii ZIT</w:t>
      </w:r>
      <w:r>
        <w:rPr>
          <w:rFonts w:ascii="Arial" w:eastAsia="Times New Roman" w:hAnsi="Arial" w:cs="Arial"/>
          <w:color w:val="auto"/>
          <w:szCs w:val="22"/>
          <w:lang w:eastAsia="ar-SA"/>
        </w:rPr>
        <w:t>.</w:t>
      </w:r>
      <w:r w:rsidRPr="00042EC8" w:rsidDel="00DA1143">
        <w:rPr>
          <w:rFonts w:ascii="Arial" w:eastAsia="Times New Roman" w:hAnsi="Arial" w:cs="Arial"/>
          <w:color w:val="auto"/>
          <w:szCs w:val="22"/>
          <w:lang w:eastAsia="ar-SA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937A3" w:rsidRPr="008A0143" w14:paraId="3697FBEA" w14:textId="77777777" w:rsidTr="00696F49">
        <w:tc>
          <w:tcPr>
            <w:tcW w:w="9973" w:type="dxa"/>
          </w:tcPr>
          <w:p w14:paraId="381FF79E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8A0143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3D6B2C36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538BD5DA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48C8AD" w14:textId="77777777" w:rsidR="003937A3" w:rsidRPr="00F96176" w:rsidRDefault="003937A3" w:rsidP="00F96176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9A29671" w14:textId="77777777" w:rsidR="003937A3" w:rsidRPr="0080095D" w:rsidRDefault="003937A3" w:rsidP="003937A3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</w:rPr>
      </w:pPr>
      <w:r w:rsidRPr="0080095D">
        <w:rPr>
          <w:rFonts w:ascii="Arial" w:eastAsiaTheme="majorEastAsia" w:hAnsi="Arial" w:cs="Arial"/>
          <w:b/>
          <w:bCs/>
        </w:rPr>
        <w:t>Z</w:t>
      </w:r>
      <w:r>
        <w:rPr>
          <w:rFonts w:ascii="Arial" w:eastAsiaTheme="majorEastAsia" w:hAnsi="Arial" w:cs="Arial"/>
          <w:b/>
          <w:bCs/>
        </w:rPr>
        <w:t>integrowany charakter projektu</w:t>
      </w:r>
    </w:p>
    <w:p w14:paraId="4D7240BF" w14:textId="77777777" w:rsidR="003937A3" w:rsidRPr="00B03413" w:rsidRDefault="003937A3" w:rsidP="003937A3">
      <w:pPr>
        <w:pStyle w:val="Default"/>
        <w:spacing w:beforeLines="60" w:before="144" w:afterLines="60" w:after="144" w:line="276" w:lineRule="auto"/>
        <w:rPr>
          <w:rFonts w:ascii="Arial" w:hAnsi="Arial" w:cs="Arial"/>
          <w:color w:val="auto"/>
          <w:szCs w:val="22"/>
        </w:rPr>
      </w:pPr>
      <w:r w:rsidRPr="00B03413">
        <w:rPr>
          <w:rFonts w:ascii="Arial" w:hAnsi="Arial" w:cs="Arial"/>
          <w:bCs/>
          <w:color w:val="auto"/>
          <w:szCs w:val="22"/>
        </w:rPr>
        <w:t>Należy opisać, czy projekt ma zintegrowany charakter, rozumiany zgodnie z zasadami opisanymi w dokumencie Zasady realizacji instrumentów terytorialnych w Polsce w perspektywie finansowej UE na lata 2021-2027.</w:t>
      </w:r>
    </w:p>
    <w:p w14:paraId="332AB51B" w14:textId="77777777" w:rsidR="003937A3" w:rsidRPr="00D26B8F" w:rsidRDefault="003937A3" w:rsidP="003937A3">
      <w:pPr>
        <w:pStyle w:val="Default"/>
        <w:spacing w:beforeLines="60" w:before="144" w:afterLines="60" w:after="144"/>
        <w:rPr>
          <w:rFonts w:ascii="Arial" w:hAnsi="Arial" w:cs="Arial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937A3" w:rsidRPr="008A0143" w14:paraId="5E6D97C1" w14:textId="77777777" w:rsidTr="00696F49">
        <w:tc>
          <w:tcPr>
            <w:tcW w:w="9973" w:type="dxa"/>
          </w:tcPr>
          <w:p w14:paraId="08729EDC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8A0143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30450D6D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  <w:p w14:paraId="6420EE94" w14:textId="77777777" w:rsidR="003937A3" w:rsidRPr="008A0143" w:rsidRDefault="003937A3" w:rsidP="00696F4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BBD08" w14:textId="77777777" w:rsidR="00A65638" w:rsidRPr="00F96176" w:rsidRDefault="00A65638" w:rsidP="00F96176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6C9FDF0" w14:textId="5F942AA5" w:rsidR="00DB5A71" w:rsidRPr="00F96176" w:rsidRDefault="007231E4" w:rsidP="00736F05">
      <w:pPr>
        <w:pStyle w:val="Akapitzlist"/>
        <w:numPr>
          <w:ilvl w:val="0"/>
          <w:numId w:val="15"/>
        </w:numPr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 xml:space="preserve">Uzasadnienie konieczności realizacji projektu i zgodność z celami </w:t>
      </w:r>
      <w:proofErr w:type="spellStart"/>
      <w:r w:rsidRPr="00F96176">
        <w:rPr>
          <w:rFonts w:ascii="Arial" w:eastAsiaTheme="majorEastAsia" w:hAnsi="Arial" w:cs="Arial"/>
          <w:b/>
          <w:bCs/>
          <w:sz w:val="24"/>
          <w:szCs w:val="24"/>
        </w:rPr>
        <w:t>FEdP</w:t>
      </w:r>
      <w:proofErr w:type="spellEnd"/>
    </w:p>
    <w:p w14:paraId="56605569" w14:textId="4A6D3ADC" w:rsidR="007231E4" w:rsidRPr="00F96176" w:rsidRDefault="007231E4" w:rsidP="00F96176">
      <w:pPr>
        <w:pStyle w:val="Default"/>
        <w:widowControl/>
        <w:numPr>
          <w:ilvl w:val="1"/>
          <w:numId w:val="58"/>
        </w:numPr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Należy uzasadnić potrzebę</w:t>
      </w:r>
      <w:r w:rsidRPr="00F96176" w:rsidDel="00B94B89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 </w:t>
      </w:r>
      <w:r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realizacji projektu oraz konieczność finansowania projektu środkami publicznymi, w odniesieniu do poniższych aspektów:</w:t>
      </w:r>
    </w:p>
    <w:p w14:paraId="48B98E36" w14:textId="77777777" w:rsidR="007231E4" w:rsidRPr="00F96176" w:rsidRDefault="007231E4" w:rsidP="008056EA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 xml:space="preserve">czy projekt stanowi odpowiedź na zidentyfikowane problemy/potrzeby lokalnej społeczności i Wnioskodawcy, </w:t>
      </w:r>
    </w:p>
    <w:p w14:paraId="11918B21" w14:textId="77777777" w:rsidR="007231E4" w:rsidRPr="00F96176" w:rsidRDefault="007231E4" w:rsidP="008056EA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 xml:space="preserve">czy planowane działania są adekwatne do potrzeb lokalnej społeczności i Wnioskodawcy, </w:t>
      </w:r>
    </w:p>
    <w:p w14:paraId="5496CDF2" w14:textId="6B1A2743" w:rsidR="00675C67" w:rsidRPr="00F96176" w:rsidRDefault="00675C67" w:rsidP="008056EA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czy planowane działania umożliwi</w:t>
      </w:r>
      <w:r w:rsidR="002227A9" w:rsidRPr="00F96176">
        <w:rPr>
          <w:rFonts w:ascii="Arial" w:hAnsi="Arial" w:cs="Arial"/>
          <w:sz w:val="24"/>
          <w:szCs w:val="24"/>
        </w:rPr>
        <w:t>ą</w:t>
      </w:r>
      <w:r w:rsidRPr="00F96176">
        <w:rPr>
          <w:rFonts w:ascii="Arial" w:hAnsi="Arial" w:cs="Arial"/>
          <w:sz w:val="24"/>
          <w:szCs w:val="24"/>
        </w:rPr>
        <w:t xml:space="preserve"> realizację projektu</w:t>
      </w:r>
      <w:r w:rsidR="007A20B8" w:rsidRPr="00F96176">
        <w:rPr>
          <w:rFonts w:ascii="Arial" w:hAnsi="Arial" w:cs="Arial"/>
          <w:sz w:val="24"/>
          <w:szCs w:val="24"/>
        </w:rPr>
        <w:t>,</w:t>
      </w:r>
    </w:p>
    <w:p w14:paraId="17933ED7" w14:textId="6774923D" w:rsidR="007231E4" w:rsidRPr="00F96176" w:rsidRDefault="007231E4" w:rsidP="008056EA">
      <w:pPr>
        <w:numPr>
          <w:ilvl w:val="0"/>
          <w:numId w:val="22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konieczność finansowania projektu środkami publicznymi</w:t>
      </w:r>
      <w:r w:rsidR="00842D2E" w:rsidRPr="00F96176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7231E4" w:rsidRPr="0036456E" w14:paraId="22A916BD" w14:textId="77777777" w:rsidTr="00143320">
        <w:tc>
          <w:tcPr>
            <w:tcW w:w="9068" w:type="dxa"/>
          </w:tcPr>
          <w:p w14:paraId="06DE8D62" w14:textId="77777777" w:rsidR="007231E4" w:rsidRPr="00F96176" w:rsidRDefault="007231E4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22E2A2D3" w14:textId="77777777" w:rsidR="007231E4" w:rsidRPr="00F96176" w:rsidRDefault="007231E4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6B8D314C" w14:textId="77777777" w:rsidR="007231E4" w:rsidRPr="00F96176" w:rsidRDefault="007231E4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D16D34" w14:textId="4E50F570" w:rsidR="00DD2F79" w:rsidRPr="00E20209" w:rsidRDefault="003937A3" w:rsidP="00F96176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11.2</w:t>
      </w:r>
      <w:r w:rsidR="00DD2F79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 </w:t>
      </w:r>
      <w:r w:rsidR="00DD2F79" w:rsidRPr="00E20209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Należy określić cele realizacji projektu i opisać, czy są zbieżne z odpowiednim celem szczegółowym programu Fundusze Europejskie dla Podlaskiego 2021-2027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DD2F79" w:rsidRPr="00E20209" w14:paraId="21DD7E89" w14:textId="77777777" w:rsidTr="00E20209">
        <w:tc>
          <w:tcPr>
            <w:tcW w:w="9068" w:type="dxa"/>
          </w:tcPr>
          <w:p w14:paraId="10630A0C" w14:textId="77777777" w:rsidR="00DD2F79" w:rsidRPr="00E20209" w:rsidRDefault="00DD2F79" w:rsidP="00E2020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E20209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428516C4" w14:textId="77777777" w:rsidR="00DD2F79" w:rsidRPr="00E20209" w:rsidRDefault="00DD2F79" w:rsidP="00E2020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  <w:p w14:paraId="06C72B87" w14:textId="77777777" w:rsidR="00DD2F79" w:rsidRPr="00E20209" w:rsidRDefault="00DD2F79" w:rsidP="00E20209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DA1A50" w14:textId="5DD3EC7A" w:rsidR="007231E4" w:rsidRPr="00F96176" w:rsidRDefault="003937A3" w:rsidP="00F96176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11.3</w:t>
      </w:r>
      <w:r w:rsidR="008056EA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 </w:t>
      </w:r>
      <w:r w:rsidR="007231E4"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Należy </w:t>
      </w:r>
      <w:r w:rsidR="0021518F"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>wykazać, że wskaźniki projektu odzwierciedlają założone cele projektu</w:t>
      </w:r>
    </w:p>
    <w:p w14:paraId="366E41BA" w14:textId="4A816BE2" w:rsidR="006606F0" w:rsidRPr="00F96176" w:rsidRDefault="006606F0" w:rsidP="006606F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Należy wykazać, </w:t>
      </w:r>
      <w:proofErr w:type="gramStart"/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że  </w:t>
      </w:r>
      <w:r w:rsidRPr="00F96176">
        <w:rPr>
          <w:rFonts w:ascii="Arial" w:hAnsi="Arial" w:cs="Arial"/>
          <w:sz w:val="24"/>
          <w:szCs w:val="24"/>
        </w:rPr>
        <w:t>wskaźniki</w:t>
      </w:r>
      <w:proofErr w:type="gramEnd"/>
      <w:r w:rsidRPr="00F96176">
        <w:rPr>
          <w:rFonts w:ascii="Arial" w:hAnsi="Arial" w:cs="Arial"/>
          <w:sz w:val="24"/>
          <w:szCs w:val="24"/>
        </w:rPr>
        <w:t xml:space="preserve"> osiągnięcia celów projektu </w:t>
      </w:r>
      <w:r w:rsidR="008056EA">
        <w:rPr>
          <w:rFonts w:ascii="Arial" w:hAnsi="Arial" w:cs="Arial"/>
          <w:sz w:val="24"/>
          <w:szCs w:val="24"/>
        </w:rPr>
        <w:t>są</w:t>
      </w:r>
      <w:r w:rsidRPr="00F96176">
        <w:rPr>
          <w:rFonts w:ascii="Arial" w:hAnsi="Arial" w:cs="Arial"/>
          <w:sz w:val="24"/>
          <w:szCs w:val="24"/>
        </w:rPr>
        <w:t xml:space="preserve"> adekwatne do zakresu rzeczowego projektu i celów oraz </w:t>
      </w:r>
      <w:r w:rsidR="008056EA">
        <w:rPr>
          <w:rFonts w:ascii="Arial" w:hAnsi="Arial" w:cs="Arial"/>
          <w:sz w:val="24"/>
          <w:szCs w:val="24"/>
        </w:rPr>
        <w:t>zostaną</w:t>
      </w:r>
      <w:r w:rsidRPr="00F96176">
        <w:rPr>
          <w:rFonts w:ascii="Arial" w:hAnsi="Arial" w:cs="Arial"/>
          <w:sz w:val="24"/>
          <w:szCs w:val="24"/>
        </w:rPr>
        <w:t xml:space="preserve"> osiągnięte przy danych nakładach i założonym sposobie realizacji projektu.</w:t>
      </w:r>
    </w:p>
    <w:p w14:paraId="5DE436B1" w14:textId="77777777" w:rsidR="006606F0" w:rsidRPr="00F96176" w:rsidRDefault="006606F0" w:rsidP="006606F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0E6F842" w14:textId="086CA45C" w:rsidR="006606F0" w:rsidRPr="00F96176" w:rsidRDefault="008056EA" w:rsidP="00F96176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Należy opisać </w:t>
      </w:r>
      <w:r w:rsidR="006606F0" w:rsidRPr="00F96176">
        <w:rPr>
          <w:rFonts w:ascii="Arial" w:hAnsi="Arial" w:cs="Arial"/>
          <w:sz w:val="24"/>
          <w:szCs w:val="24"/>
        </w:rPr>
        <w:t xml:space="preserve">metodologię wyliczenia wskaźników, tj. opis szacowania, pomiaru i monitorowania wskaźnika.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675C67" w:rsidRPr="0036456E" w14:paraId="58938589" w14:textId="77777777" w:rsidTr="002A6164">
        <w:tc>
          <w:tcPr>
            <w:tcW w:w="9068" w:type="dxa"/>
          </w:tcPr>
          <w:p w14:paraId="01619B90" w14:textId="77777777" w:rsidR="00675C67" w:rsidRPr="00F96176" w:rsidRDefault="00675C67" w:rsidP="002A616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18999FC8" w14:textId="77777777" w:rsidR="00675C67" w:rsidRPr="00F96176" w:rsidRDefault="00675C67" w:rsidP="002A6164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885620" w14:textId="56321F59" w:rsidR="0099101D" w:rsidRPr="00F96176" w:rsidRDefault="0099101D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Sposób szacowania wydatków kwalifikowalnych projektu</w:t>
      </w:r>
    </w:p>
    <w:p w14:paraId="1D99103A" w14:textId="1FA2FDDB" w:rsidR="00DD2F79" w:rsidRDefault="0099101D" w:rsidP="00241827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Należy przedstawić sposób </w:t>
      </w:r>
      <w:bookmarkStart w:id="15" w:name="_Hlk180414278"/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szacowania wydatków kwalifikowalnych </w:t>
      </w:r>
      <w:bookmarkEnd w:id="15"/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zadeklarowanych w budżecie projektu tzn. opisać czy przedłożono kosztorysy inwestorskie, a w przypadku zastosowania załącznika (np. w formie tabelarycznej), co jest zgodne z Instrukcją wypełniania załączników, należy opisać w jaki sposób oszacowano wydatki np. na podstawie ofert (należy załączyć oferty lub linki do ofert). </w:t>
      </w:r>
    </w:p>
    <w:p w14:paraId="1B5E0359" w14:textId="1B18B309" w:rsidR="00407BDF" w:rsidRPr="00F96176" w:rsidRDefault="00407BDF" w:rsidP="00241827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 xml:space="preserve">Wydatki powinny być precyzyjnie identyfikowane i </w:t>
      </w:r>
      <w:r w:rsidRPr="00F96176">
        <w:rPr>
          <w:rFonts w:ascii="Arial" w:hAnsi="Arial" w:cs="Arial"/>
          <w:sz w:val="24"/>
          <w:szCs w:val="24"/>
        </w:rPr>
        <w:t>szczegółowe w stosunku do rodzaju projektu oraz jego zakresu rzeczowego i finansowego.</w:t>
      </w:r>
    </w:p>
    <w:p w14:paraId="5BDEA056" w14:textId="2D89C4C0" w:rsidR="00407BDF" w:rsidRPr="00F96176" w:rsidRDefault="00407BDF" w:rsidP="00241827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color w:val="000000"/>
          <w:sz w:val="24"/>
          <w:szCs w:val="24"/>
        </w:rPr>
        <w:t xml:space="preserve">Należy uzasadnić ekonomicznie wydatki, dokonując świadomego wyboru i analizy opcji. </w:t>
      </w:r>
    </w:p>
    <w:p w14:paraId="2B591F8C" w14:textId="601791C3" w:rsidR="009A08D6" w:rsidRPr="00F96176" w:rsidRDefault="009A08D6" w:rsidP="00F96176">
      <w:pPr>
        <w:spacing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Należy zwrócić uwagę na prawidłowo zastosowa</w:t>
      </w:r>
      <w:r w:rsidR="00300F16" w:rsidRPr="00F96176">
        <w:rPr>
          <w:rFonts w:ascii="Arial" w:hAnsi="Arial" w:cs="Arial"/>
          <w:sz w:val="24"/>
          <w:szCs w:val="24"/>
        </w:rPr>
        <w:t>ną</w:t>
      </w:r>
      <w:r w:rsidRPr="00F96176">
        <w:rPr>
          <w:rFonts w:ascii="Arial" w:hAnsi="Arial" w:cs="Arial"/>
          <w:sz w:val="24"/>
          <w:szCs w:val="24"/>
        </w:rPr>
        <w:t xml:space="preserve"> metodologię rozliczania wydatków w oparciu o stawki ryczałtowe (jeśli dotyczy). Wysokość kosztów pośrednich nie może przekroczyć poziomu kosztów wskazanych w Regulaminie wyboru projektów (jeśli dotyczy).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9101D" w:rsidRPr="0036456E" w14:paraId="5FA390A9" w14:textId="77777777" w:rsidTr="00143320">
        <w:tc>
          <w:tcPr>
            <w:tcW w:w="9973" w:type="dxa"/>
          </w:tcPr>
          <w:p w14:paraId="76327413" w14:textId="77777777" w:rsidR="0099101D" w:rsidRPr="00F96176" w:rsidRDefault="0099101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089BE4C2" w14:textId="77777777" w:rsidR="0099101D" w:rsidRPr="00F96176" w:rsidRDefault="0099101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3C42B4" w14:textId="77777777" w:rsidR="0099101D" w:rsidRPr="00F96176" w:rsidRDefault="0099101D" w:rsidP="00736F05">
      <w:pPr>
        <w:pStyle w:val="Akapitzlist"/>
        <w:spacing w:beforeLines="60" w:before="144" w:afterLines="60" w:after="144" w:line="240" w:lineRule="auto"/>
        <w:ind w:left="360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2152B4EC" w14:textId="77777777" w:rsidR="0099101D" w:rsidRPr="00F96176" w:rsidRDefault="0099101D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Wykonalność techniczna projektu</w:t>
      </w:r>
    </w:p>
    <w:p w14:paraId="7CF39474" w14:textId="5742B5FA" w:rsidR="0099101D" w:rsidRPr="00F96176" w:rsidRDefault="0099101D" w:rsidP="00A411F0">
      <w:pPr>
        <w:pStyle w:val="Default"/>
        <w:widowControl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/>
        <w:ind w:left="851" w:hanging="567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 w:rsidRPr="00F96176">
        <w:rPr>
          <w:rFonts w:ascii="Arial" w:eastAsia="Times New Roman" w:hAnsi="Arial" w:cs="Arial"/>
          <w:b/>
          <w:bCs/>
          <w:color w:val="auto"/>
          <w:sz w:val="24"/>
          <w:lang w:eastAsia="ar-SA"/>
        </w:rPr>
        <w:t xml:space="preserve">Należy opisać zasoby techniczne gwarantujące prawidłową realizację projektu </w:t>
      </w:r>
    </w:p>
    <w:p w14:paraId="13E26A0E" w14:textId="354C297D" w:rsidR="00121904" w:rsidRPr="00F96176" w:rsidRDefault="00121904" w:rsidP="00D42983">
      <w:pPr>
        <w:pStyle w:val="Default"/>
        <w:widowControl/>
        <w:autoSpaceDE w:val="0"/>
        <w:autoSpaceDN w:val="0"/>
        <w:adjustRightInd w:val="0"/>
        <w:spacing w:beforeLines="60" w:before="144" w:afterLines="60" w:after="144"/>
        <w:rPr>
          <w:rFonts w:ascii="Arial" w:eastAsia="Times New Roman" w:hAnsi="Arial" w:cs="Arial"/>
          <w:b/>
          <w:bCs/>
          <w:color w:val="auto"/>
          <w:sz w:val="24"/>
          <w:lang w:eastAsia="ar-SA"/>
        </w:rPr>
      </w:pPr>
      <w:r w:rsidRPr="00F96176">
        <w:rPr>
          <w:rFonts w:ascii="Arial" w:eastAsia="Times New Roman" w:hAnsi="Arial" w:cs="Arial"/>
          <w:sz w:val="24"/>
          <w:lang w:eastAsia="ar-SA"/>
        </w:rPr>
        <w:t xml:space="preserve">Należy przedstawić posiadane </w:t>
      </w:r>
      <w:r w:rsidRPr="00F96176">
        <w:rPr>
          <w:rFonts w:ascii="Arial" w:hAnsi="Arial" w:cs="Arial"/>
          <w:sz w:val="24"/>
        </w:rPr>
        <w:t>zasoby techniczne i ludzkie niezbędne do prawidłowej realizacji projektu oraz scharakteryzować je pod względem administracyjnym i stricte związanym z przedmiotem projektu.</w:t>
      </w:r>
    </w:p>
    <w:p w14:paraId="2793145D" w14:textId="2E83587A" w:rsidR="0099101D" w:rsidRPr="00F96176" w:rsidRDefault="0099101D" w:rsidP="00736F05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W przypadku, gdy Wnioskodawca nie posiada wszystkich zasobów w momencie składania wniosku o dofinansowanie, należy opisać, w jaki sposób zostaną one pozyskane w trakcie realizacji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9101D" w:rsidRPr="0036456E" w14:paraId="2344F48C" w14:textId="77777777" w:rsidTr="003A5DB6">
        <w:tc>
          <w:tcPr>
            <w:tcW w:w="9068" w:type="dxa"/>
          </w:tcPr>
          <w:p w14:paraId="5080EEC1" w14:textId="77777777" w:rsidR="0099101D" w:rsidRPr="00F96176" w:rsidRDefault="0099101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7D543A13" w14:textId="77777777" w:rsidR="0099101D" w:rsidRPr="00F96176" w:rsidRDefault="0099101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2CE23E" w14:textId="7FE60699" w:rsidR="003A5DB6" w:rsidRPr="00F96176" w:rsidRDefault="003A5DB6" w:rsidP="00736F05">
      <w:pPr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 w:line="240" w:lineRule="auto"/>
        <w:ind w:left="851" w:hanging="567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9617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Należy wskazać, jakich pozwoleń/ praw/zgód wymaga inwestycja</w:t>
      </w:r>
    </w:p>
    <w:p w14:paraId="6E47B5A0" w14:textId="069C66AE" w:rsidR="00F12C86" w:rsidRDefault="00B3240D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W przypadku, gdy dla projektu wymagane jest posiadanie praw własności, pozwoleń, licencji, itp., a na moment złożenia wniosku o dofinansowanie Wnioskodawca ich nie posiada, powinien w sposób wiarygodny opisać stan zaawansowania prac nad ich uzyskaniem oraz podać przewidywany termin uzyskania przedmiotowych dokumentów. </w:t>
      </w:r>
    </w:p>
    <w:p w14:paraId="46F02E7A" w14:textId="7DA0FFC0" w:rsidR="003A5DB6" w:rsidRPr="00F96176" w:rsidRDefault="00B3240D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Należy opisać również jaką dokumentacją techniczną dysponuje Wnioskodawca. Wnioskodawca na moment aplikacji powinien dysponować </w:t>
      </w:r>
      <w:r w:rsidRPr="00F9617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kompletną dokumentacją techniczną.</w:t>
      </w:r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 W zależności od tego, jakiego zezwolenia wymaga inwestycja może być to projekt budowlany stanowiący podstawę do uzyskania decyzji Pozwolenia na </w:t>
      </w:r>
      <w:proofErr w:type="gramStart"/>
      <w:r w:rsidRPr="00F96176">
        <w:rPr>
          <w:rFonts w:ascii="Arial" w:eastAsia="Times New Roman" w:hAnsi="Arial" w:cs="Arial"/>
          <w:sz w:val="24"/>
          <w:szCs w:val="24"/>
          <w:lang w:eastAsia="ar-SA"/>
        </w:rPr>
        <w:t>budowę,</w:t>
      </w:r>
      <w:proofErr w:type="gramEnd"/>
      <w:r w:rsidRPr="00F96176">
        <w:rPr>
          <w:rFonts w:ascii="Arial" w:eastAsia="Times New Roman" w:hAnsi="Arial" w:cs="Arial"/>
          <w:sz w:val="24"/>
          <w:szCs w:val="24"/>
          <w:lang w:eastAsia="ar-SA"/>
        </w:rPr>
        <w:t xml:space="preserve"> lub uproszczona dokumentacja w przypadku zgłoszenia lub gdy żadne z powyższych zezwoleń nie jest wymagane – wymogi w tym zakresie zostały opisane w Instrukcji wypełniania załączników.</w:t>
      </w:r>
      <w:r w:rsidR="00F12C86">
        <w:rPr>
          <w:rFonts w:ascii="Arial" w:eastAsia="Times New Roman" w:hAnsi="Arial" w:cs="Arial"/>
          <w:sz w:val="24"/>
          <w:szCs w:val="24"/>
          <w:lang w:eastAsia="ar-SA"/>
        </w:rPr>
        <w:t xml:space="preserve"> Ważne jest</w:t>
      </w:r>
      <w:r w:rsidR="00947CE7">
        <w:rPr>
          <w:rFonts w:ascii="Arial" w:eastAsia="Times New Roman" w:hAnsi="Arial" w:cs="Arial"/>
          <w:sz w:val="24"/>
          <w:szCs w:val="24"/>
          <w:lang w:eastAsia="ar-SA"/>
        </w:rPr>
        <w:t>, aby dokumentacja techniczna obejmowała zakres projektu i była podstawą do przygotowania wniosku o dofinansowanie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A5DB6" w:rsidRPr="0036456E" w14:paraId="710BB06D" w14:textId="77777777" w:rsidTr="00143320">
        <w:tc>
          <w:tcPr>
            <w:tcW w:w="9973" w:type="dxa"/>
          </w:tcPr>
          <w:p w14:paraId="0733E2E1" w14:textId="77777777" w:rsidR="003A5DB6" w:rsidRPr="00F96176" w:rsidRDefault="003A5DB6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6" w:name="_Hlk180417221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6C937C12" w14:textId="77777777" w:rsidR="003A5DB6" w:rsidRPr="00F96176" w:rsidRDefault="003A5DB6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16"/>
    <w:p w14:paraId="687C4965" w14:textId="77777777" w:rsidR="003A5DB6" w:rsidRPr="00F96176" w:rsidRDefault="003A5DB6" w:rsidP="00736F05">
      <w:pPr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 w:line="240" w:lineRule="auto"/>
        <w:ind w:left="851" w:hanging="567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F96176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Harmonogram realizacji projektu</w:t>
      </w:r>
    </w:p>
    <w:p w14:paraId="03189504" w14:textId="77777777" w:rsidR="003A5DB6" w:rsidRPr="00F96176" w:rsidRDefault="003A5DB6" w:rsidP="00736F05">
      <w:pPr>
        <w:spacing w:beforeLines="60" w:before="144" w:afterLines="60" w:after="144" w:line="240" w:lineRule="auto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lastRenderedPageBreak/>
        <w:t xml:space="preserve">Należy przedstawić harmonogram realizacji projektu oraz uzasadnić jego racjonalność i wykonalność przy uwzględnieniu takich aspektów jak np.: </w:t>
      </w:r>
    </w:p>
    <w:p w14:paraId="61196E74" w14:textId="77777777" w:rsidR="003A5DB6" w:rsidRPr="00F96176" w:rsidRDefault="003A5DB6" w:rsidP="00736F05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t xml:space="preserve">zakres rzeczowy, </w:t>
      </w:r>
    </w:p>
    <w:p w14:paraId="27AF343B" w14:textId="77777777" w:rsidR="003A5DB6" w:rsidRPr="00F96176" w:rsidRDefault="003A5DB6" w:rsidP="00736F05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t xml:space="preserve">procedury przetargowe, </w:t>
      </w:r>
    </w:p>
    <w:p w14:paraId="07738EFB" w14:textId="77777777" w:rsidR="003A5DB6" w:rsidRPr="00F96176" w:rsidRDefault="003A5DB6" w:rsidP="00736F05">
      <w:pPr>
        <w:numPr>
          <w:ilvl w:val="0"/>
          <w:numId w:val="5"/>
        </w:numPr>
        <w:suppressAutoHyphens/>
        <w:spacing w:after="0" w:line="240" w:lineRule="auto"/>
        <w:ind w:left="482" w:hanging="284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t>ramy czasowe,</w:t>
      </w:r>
    </w:p>
    <w:p w14:paraId="7740FAF6" w14:textId="77777777" w:rsidR="003A5DB6" w:rsidRPr="00F96176" w:rsidRDefault="003A5DB6" w:rsidP="007A20B8">
      <w:pPr>
        <w:numPr>
          <w:ilvl w:val="0"/>
          <w:numId w:val="5"/>
        </w:numPr>
        <w:suppressAutoHyphens/>
        <w:spacing w:line="240" w:lineRule="auto"/>
        <w:ind w:left="482" w:hanging="284"/>
        <w:rPr>
          <w:rFonts w:ascii="Arial" w:eastAsia="Times New Roman" w:hAnsi="Arial" w:cs="Arial"/>
          <w:sz w:val="24"/>
          <w:szCs w:val="24"/>
        </w:rPr>
      </w:pPr>
      <w:r w:rsidRPr="00F96176">
        <w:rPr>
          <w:rFonts w:ascii="Arial" w:eastAsia="Times New Roman" w:hAnsi="Arial" w:cs="Arial"/>
          <w:sz w:val="24"/>
          <w:szCs w:val="24"/>
        </w:rPr>
        <w:t>inne okoliczności warunkujące terminową realizację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A5DB6" w:rsidRPr="0036456E" w14:paraId="65BC8BB8" w14:textId="77777777" w:rsidTr="00143320">
        <w:tc>
          <w:tcPr>
            <w:tcW w:w="9068" w:type="dxa"/>
          </w:tcPr>
          <w:p w14:paraId="12E8B006" w14:textId="77777777" w:rsidR="003A5DB6" w:rsidRPr="00F96176" w:rsidRDefault="003A5DB6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7" w:name="_Hlk185066758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03B58504" w14:textId="77777777" w:rsidR="003A5DB6" w:rsidRPr="00F96176" w:rsidRDefault="003A5DB6" w:rsidP="00736F05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7"/>
    </w:tbl>
    <w:p w14:paraId="5C240043" w14:textId="77777777" w:rsidR="002117DB" w:rsidRPr="00F96176" w:rsidRDefault="002117DB" w:rsidP="00736F05">
      <w:p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</w:p>
    <w:p w14:paraId="6C2AFFC0" w14:textId="77777777" w:rsidR="002117DB" w:rsidRPr="00F96176" w:rsidRDefault="002117DB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Wykonalność finansowa i ekonomiczna projektu</w:t>
      </w:r>
    </w:p>
    <w:p w14:paraId="48A25ACA" w14:textId="77777777" w:rsidR="002117DB" w:rsidRPr="00F96176" w:rsidRDefault="002117DB" w:rsidP="00736F05">
      <w:pPr>
        <w:pStyle w:val="Akapitzlist"/>
        <w:spacing w:beforeLines="60" w:before="144" w:afterLines="60" w:after="144" w:line="240" w:lineRule="auto"/>
        <w:ind w:left="36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1781E2E8" w14:textId="77777777" w:rsidR="002117DB" w:rsidRPr="00F96176" w:rsidRDefault="002117DB" w:rsidP="00842D2E">
      <w:pPr>
        <w:pStyle w:val="Akapitzlist"/>
        <w:numPr>
          <w:ilvl w:val="1"/>
          <w:numId w:val="15"/>
        </w:numPr>
        <w:ind w:left="993" w:hanging="709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bookmarkStart w:id="18" w:name="_Toc138840678"/>
      <w:bookmarkStart w:id="19" w:name="_Toc180402098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Analiza finansowa, w tym obliczenie wartości dofinansowania</w:t>
      </w:r>
      <w:bookmarkEnd w:id="18"/>
      <w:bookmarkEnd w:id="19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 </w:t>
      </w:r>
    </w:p>
    <w:p w14:paraId="22963FE6" w14:textId="77777777" w:rsidR="00112217" w:rsidRPr="00F96176" w:rsidRDefault="00112217" w:rsidP="00F96176">
      <w:pPr>
        <w:pStyle w:val="Akapitzlist"/>
        <w:ind w:left="993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</w:p>
    <w:p w14:paraId="53B7896F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Należy przedstawić analizę finansową, w tym obliczenia wartości dofinansowania – w oparciu o metodę DCF (zdyskontowane przepływy pieniężne – </w:t>
      </w:r>
      <w:proofErr w:type="spellStart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discounted</w:t>
      </w:r>
      <w:proofErr w:type="spellEnd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</w:t>
      </w:r>
      <w:proofErr w:type="spellStart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cash</w:t>
      </w:r>
      <w:proofErr w:type="spellEnd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</w:t>
      </w:r>
      <w:proofErr w:type="spellStart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flows</w:t>
      </w:r>
      <w:proofErr w:type="spellEnd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).</w:t>
      </w:r>
    </w:p>
    <w:p w14:paraId="43204C2E" w14:textId="42544BEC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Należy w sposób opisowy zaprezentować podstawowe informacje stanowiące podstawę przeprowadzenia analizy, której metodologię zaprezentowano w </w:t>
      </w:r>
      <w:r w:rsidR="007A20B8" w:rsidRPr="00F96176">
        <w:rPr>
          <w:rFonts w:ascii="Arial" w:eastAsia="Times New Roman" w:hAnsi="Arial" w:cs="Arial"/>
          <w:i/>
          <w:sz w:val="24"/>
          <w:szCs w:val="24"/>
          <w:lang w:eastAsia="en-US"/>
        </w:rPr>
        <w:t>Wytycznych dotyczących zagadnień związanych z przygotowaniem projektów inwestycyjnych, w tym hybrydowych na lata 2021-2027</w:t>
      </w:r>
      <w:r w:rsidR="007A20B8" w:rsidRPr="00F96176" w:rsidDel="007A20B8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(</w:t>
      </w:r>
      <w:r w:rsidR="007A20B8"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dalej 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Wytyczne</w:t>
      </w:r>
      <w:r w:rsidR="007A20B8"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) - 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Podrozdział 6.4). </w:t>
      </w:r>
    </w:p>
    <w:p w14:paraId="491746EB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Całkowity koszt projektu nie obejmuje ewentualnych rezerw na nieprzewidziane wydatki. Analizę finansową przeprowadza się w cenach stałych. Nie dopuszcza się analizy w oparciu o ceny bieżące.</w:t>
      </w:r>
    </w:p>
    <w:p w14:paraId="1D0886C8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 zależności od kategorii inwestycji – należy wskazać wybraną metodę podając jednocześnie uzasadnienie wyboru.</w:t>
      </w:r>
    </w:p>
    <w:p w14:paraId="6B275F3A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W analizie finansowej wartość rezydualna określana jest w oparciu o bieżącą wartość netto przepływów pieniężnych, wygenerowanych przez projekt w pozostałych latach jego trwania (życia ekonomicznego), następujących po zakończeniu okresu odniesienia. </w:t>
      </w:r>
    </w:p>
    <w:p w14:paraId="607D133A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Okres odniesienia (horyzont czasowy inwestycji) dla poszczególnych sektorów wynosi:</w:t>
      </w:r>
    </w:p>
    <w:p w14:paraId="39578C49" w14:textId="77777777" w:rsidR="002117DB" w:rsidRPr="00F96176" w:rsidRDefault="002117DB" w:rsidP="00F96176">
      <w:pPr>
        <w:pStyle w:val="Akapitzlist"/>
        <w:numPr>
          <w:ilvl w:val="0"/>
          <w:numId w:val="38"/>
        </w:num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Infrastruktura przeciwpowodziowa - 30 lat,</w:t>
      </w:r>
    </w:p>
    <w:p w14:paraId="6EAD9BCB" w14:textId="77777777" w:rsidR="002117DB" w:rsidRPr="00F96176" w:rsidRDefault="002117DB" w:rsidP="00F96176">
      <w:pPr>
        <w:pStyle w:val="Akapitzlist"/>
        <w:numPr>
          <w:ilvl w:val="0"/>
          <w:numId w:val="38"/>
        </w:num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Transport – 30 lat,</w:t>
      </w:r>
    </w:p>
    <w:p w14:paraId="153E9B55" w14:textId="77777777" w:rsidR="002117DB" w:rsidRPr="00F96176" w:rsidRDefault="002117DB" w:rsidP="00F96176">
      <w:pPr>
        <w:pStyle w:val="Akapitzlist"/>
        <w:numPr>
          <w:ilvl w:val="0"/>
          <w:numId w:val="38"/>
        </w:num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Infrastruktura </w:t>
      </w:r>
      <w:proofErr w:type="spellStart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wodno</w:t>
      </w:r>
      <w:proofErr w:type="spellEnd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– kanalizacyjna - 30 lat,</w:t>
      </w:r>
    </w:p>
    <w:p w14:paraId="1DD9C49A" w14:textId="77777777" w:rsidR="002117DB" w:rsidRPr="00F96176" w:rsidRDefault="002117DB" w:rsidP="00F96176">
      <w:pPr>
        <w:pStyle w:val="Akapitzlist"/>
        <w:numPr>
          <w:ilvl w:val="0"/>
          <w:numId w:val="38"/>
        </w:num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Cyfryzacja - 15 lat,</w:t>
      </w:r>
    </w:p>
    <w:p w14:paraId="46580EAD" w14:textId="77777777" w:rsidR="002117DB" w:rsidRPr="00F96176" w:rsidRDefault="002117DB" w:rsidP="00F96176">
      <w:pPr>
        <w:pStyle w:val="Akapitzlist"/>
        <w:numPr>
          <w:ilvl w:val="0"/>
          <w:numId w:val="38"/>
        </w:num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Systemy ratownictwa - 15 lat,</w:t>
      </w:r>
    </w:p>
    <w:p w14:paraId="3B37EEAC" w14:textId="77777777" w:rsidR="002117DB" w:rsidRPr="00F96176" w:rsidRDefault="002117DB" w:rsidP="00F96176">
      <w:pPr>
        <w:pStyle w:val="Akapitzlist"/>
        <w:numPr>
          <w:ilvl w:val="0"/>
          <w:numId w:val="38"/>
        </w:num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Pozostałe sektory – 15 lat.</w:t>
      </w:r>
    </w:p>
    <w:p w14:paraId="6BCBFE92" w14:textId="77777777" w:rsidR="002117DB" w:rsidRPr="00F96176" w:rsidRDefault="002117DB" w:rsidP="00F96176">
      <w:pPr>
        <w:pStyle w:val="Akapitzlist"/>
        <w:spacing w:line="240" w:lineRule="auto"/>
        <w:ind w:left="360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0BF208D3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Wysokość taryf ustalających ceny za towary lub usługi zapewniane przez dany projekt jest, obok popytu, głównym czynnikiem pozwalającym określić poziom przychodów, jakie będą generowane w fazie operacyjnej (Wytyczne – Podrozdział 6.6)</w:t>
      </w:r>
    </w:p>
    <w:p w14:paraId="5F493BC6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Ustalenie wartości wskaźników finansowej efektywności projektu dokonywane jest na podstawie przepływów pieniężnych określonych przy zastosowaniu metody standardowej bądź złożonej (Wytyczne – Podrozdział 6.5 oraz 6.7). </w:t>
      </w:r>
    </w:p>
    <w:p w14:paraId="178712D1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Dla wszystkich projektów inwestycyjnych należy wyliczyć wskaźniki, tj. FNPV/C i FRR/C oraz FNPV/K i FRR/K.</w:t>
      </w:r>
    </w:p>
    <w:p w14:paraId="33E9A761" w14:textId="77777777" w:rsidR="002117DB" w:rsidRPr="00F96176" w:rsidRDefault="002117DB" w:rsidP="00F96176">
      <w:pPr>
        <w:pStyle w:val="Akapitzlist"/>
        <w:spacing w:line="240" w:lineRule="auto"/>
        <w:ind w:left="0"/>
        <w:contextualSpacing w:val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lastRenderedPageBreak/>
        <w:t>Wnioskodawca powinien wykazać, iż dysponuje niezbędnymi zasobami, aby pokryć koszty eksploatacji i utrzymania inwestycji realizowanej w ramach projektu zarówno na etapie inwestycyjnym, jak i operacyjnym (Wytyczne – Podrozdział 6.8).</w:t>
      </w:r>
    </w:p>
    <w:p w14:paraId="282915C5" w14:textId="315D787F" w:rsidR="007A20B8" w:rsidRPr="00F96176" w:rsidRDefault="00F17AD2" w:rsidP="00F96176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Szczegółowe obliczenia należy zawrzeć w modelu finansowym, w USW należy wykazać jedynie założenia i wyniki analizy.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7A20B8" w:rsidRPr="0036456E" w14:paraId="753D5FC3" w14:textId="77777777" w:rsidTr="005742E0">
        <w:tc>
          <w:tcPr>
            <w:tcW w:w="9068" w:type="dxa"/>
          </w:tcPr>
          <w:p w14:paraId="01579DD4" w14:textId="77777777" w:rsidR="007A20B8" w:rsidRPr="00F96176" w:rsidRDefault="007A20B8" w:rsidP="005742E0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194E8B29" w14:textId="77777777" w:rsidR="007A20B8" w:rsidRPr="00F96176" w:rsidRDefault="007A20B8" w:rsidP="005742E0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A8E2DD" w14:textId="77777777" w:rsidR="007A20B8" w:rsidRPr="00F96176" w:rsidRDefault="007A20B8" w:rsidP="00F96176">
      <w:pPr>
        <w:pStyle w:val="Akapitzlist"/>
        <w:ind w:left="0"/>
        <w:contextualSpacing w:val="0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6DE570B7" w14:textId="2A4D7DCD" w:rsidR="002117DB" w:rsidRPr="00F96176" w:rsidRDefault="002117DB" w:rsidP="00736F05">
      <w:pPr>
        <w:pStyle w:val="Akapitzlist"/>
        <w:numPr>
          <w:ilvl w:val="1"/>
          <w:numId w:val="15"/>
        </w:numPr>
        <w:spacing w:before="120" w:after="0"/>
        <w:ind w:left="431" w:hanging="431"/>
        <w:contextualSpacing w:val="0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bookmarkStart w:id="20" w:name="_Toc138840679"/>
      <w:bookmarkStart w:id="21" w:name="_Toc180402099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Analiza kosztów i korzyści – Analiza ekonomiczna / Analiza efektywności kosztowej</w:t>
      </w:r>
      <w:bookmarkEnd w:id="20"/>
      <w:bookmarkEnd w:id="21"/>
    </w:p>
    <w:p w14:paraId="6EA9F065" w14:textId="77777777" w:rsidR="002117DB" w:rsidRPr="00F96176" w:rsidRDefault="002117DB" w:rsidP="00F96176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Należy przedstawić analizę ekonomiczną, czyli pełną formę analizy kosztów i korzyści. Szczegółowe wskazania co do metodyki analizy znajdują się w Wytycznych (Wytyczne – Podrozdział 7.1).</w:t>
      </w:r>
    </w:p>
    <w:p w14:paraId="0878421D" w14:textId="77777777" w:rsidR="002117DB" w:rsidRPr="00F96176" w:rsidRDefault="002117DB" w:rsidP="00F96176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Ponadto należy wykonać analizę efektywności kosztowej jako element uzupełniający do analizy ekonomicznej (Wytyczne – Podrozdział 7.2).</w:t>
      </w:r>
    </w:p>
    <w:p w14:paraId="088D09E9" w14:textId="77777777" w:rsidR="002117DB" w:rsidRPr="00F96176" w:rsidRDefault="002117DB" w:rsidP="00F96176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W przypadku analizy ekonomicznej wartość rezydualna określana jest w oparciu o bieżącą wartość netto przepływów ekonomicznych, wygenerowanych przez projekt w pozostałych latach jego trwania (życia ekonomicznego), następujących po zakończeniu okresu odniesienia. </w:t>
      </w:r>
    </w:p>
    <w:p w14:paraId="25C1EC0A" w14:textId="77777777" w:rsidR="002117DB" w:rsidRPr="00F96176" w:rsidRDefault="002117DB" w:rsidP="00F96176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Analizę ekonomiczną przeprowadza się w cenach stałych. Nie dopuszcza się analizy w oparciu o ceny bieżące.</w:t>
      </w:r>
    </w:p>
    <w:p w14:paraId="1B88FE8C" w14:textId="77777777" w:rsidR="002117DB" w:rsidRPr="00F96176" w:rsidRDefault="002117DB" w:rsidP="00F96176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Szczegółowe wskazania co do metodyki analizy znajdują się w Wytycznych, Rozdział 7.</w:t>
      </w:r>
    </w:p>
    <w:p w14:paraId="37DB5A6E" w14:textId="77777777" w:rsidR="00F17AD2" w:rsidRPr="00F96176" w:rsidRDefault="00F17AD2" w:rsidP="00F96176">
      <w:pPr>
        <w:spacing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Szczegółowe obliczenia należy zawrzeć w modelu finansowym, w USW należy wykazać jedynie założenia i wyniki analizy.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F17AD2" w:rsidRPr="0036456E" w14:paraId="124D4DFD" w14:textId="77777777" w:rsidTr="005742E0">
        <w:tc>
          <w:tcPr>
            <w:tcW w:w="9068" w:type="dxa"/>
          </w:tcPr>
          <w:p w14:paraId="752904F3" w14:textId="77777777" w:rsidR="00F17AD2" w:rsidRPr="00F96176" w:rsidRDefault="00F17AD2" w:rsidP="005742E0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41AFDA0F" w14:textId="77777777" w:rsidR="00F17AD2" w:rsidRPr="00F96176" w:rsidRDefault="00F17AD2" w:rsidP="005742E0">
            <w:pPr>
              <w:spacing w:beforeLines="60" w:before="144" w:afterLines="60" w:after="144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B783A8" w14:textId="77777777" w:rsidR="00F17AD2" w:rsidRPr="00F96176" w:rsidRDefault="00F17AD2" w:rsidP="00736F05">
      <w:pPr>
        <w:pStyle w:val="Akapitzlist"/>
        <w:ind w:left="432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</w:p>
    <w:p w14:paraId="30932000" w14:textId="77777777" w:rsidR="00112217" w:rsidRPr="00F96176" w:rsidRDefault="00112217" w:rsidP="00736F05">
      <w:pPr>
        <w:pStyle w:val="Akapitzlist"/>
        <w:ind w:left="432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</w:p>
    <w:p w14:paraId="54696202" w14:textId="13CAA3D5" w:rsidR="002117DB" w:rsidRPr="00F96176" w:rsidRDefault="002117DB" w:rsidP="00736F05">
      <w:pPr>
        <w:pStyle w:val="Akapitzlist"/>
        <w:numPr>
          <w:ilvl w:val="1"/>
          <w:numId w:val="15"/>
        </w:numPr>
        <w:ind w:left="432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bookmarkStart w:id="22" w:name="_Toc138840680"/>
      <w:bookmarkStart w:id="23" w:name="_Toc180402100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Model finansowy</w:t>
      </w:r>
      <w:bookmarkEnd w:id="22"/>
      <w:bookmarkEnd w:id="23"/>
    </w:p>
    <w:p w14:paraId="69E1CEE0" w14:textId="77777777" w:rsidR="002117DB" w:rsidRPr="00F96176" w:rsidRDefault="002117DB" w:rsidP="00F96176">
      <w:pPr>
        <w:pStyle w:val="Akapitzlist"/>
        <w:spacing w:before="240"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Jest integralnym i obligatoryjnym elementem Studium wykonalności i zawiera niezbędne elementy prognozy finansowej (w zależności od specyfiki operacji) projektu. Powinien być przygotowany w programie Microsoft Excel w układzie „Wnioskodawca z Projektem” i oddzielnie „Projekt”. Powinien on zawierać co najmniej następujące tabele: Dane Podmiotu, Model Sprzedaży, Koszty Operacyjne, Zatrudnienie, Płace, Pozostałe Przychody/Koszty Operacyjne, Plan Inwestycyjny, Finansowanie, Sprawozdania Finansowe, NPV Kalkulacja (nie dotyczy projektów objętych pomocą publiczną), Podatek Dochodowy, Dodatkowe Kalkulacje. Dane dotyczące okresów historycznych powinny być zgodne z rzeczywistymi wielkościami wynikającymi ze sprawozdań finansowych, natomiast dane prognozowane powinny się opierać na założeniach realnych uwzględniających specyfikę projektu. </w:t>
      </w:r>
    </w:p>
    <w:p w14:paraId="16CA53A6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 przypadku ujęcia podatku VAT jako niekwalifikowalnego, należy go uwzględnić w Modelu finansowym oraz w budżecie projektu.</w:t>
      </w:r>
    </w:p>
    <w:p w14:paraId="6AF7CCD6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Co do zasady dla projektu wymagającego dofinansowania z funduszy UE wskaźnik FNPV/C powinien mieć wartość ujemną, a FRR/C – niższą od stopy dyskontowej użytej w analizie finansowej. Taka wartość wskaźników oznacza, że bieżąca wartość 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lastRenderedPageBreak/>
        <w:t xml:space="preserve">przyszłych przychodów nie pokrywa bieżącej wartości kosztów projektu. Jednakże, </w:t>
      </w:r>
      <w:proofErr w:type="gramStart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zgodnie  z</w:t>
      </w:r>
      <w:proofErr w:type="gramEnd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 Wytycznymi dotyczącymi zagadnień związanych z przygotowaniem projektów inwestycyjnych, w tym hybrydowych na lata 2021-2027, odstępstwo od tej zasady może wynikać ze specyfiki projektu.</w:t>
      </w:r>
    </w:p>
    <w:p w14:paraId="3F7A1D29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Analiza powinna zostać przeprowadzona dla przedziału czasowego:</w:t>
      </w:r>
    </w:p>
    <w:p w14:paraId="4ABD8BA1" w14:textId="77777777" w:rsidR="002117DB" w:rsidRPr="00F96176" w:rsidRDefault="002117DB" w:rsidP="00F96176">
      <w:pPr>
        <w:pStyle w:val="Akapitzlist"/>
        <w:numPr>
          <w:ilvl w:val="0"/>
          <w:numId w:val="39"/>
        </w:numPr>
        <w:spacing w:line="240" w:lineRule="auto"/>
        <w:ind w:left="567" w:hanging="283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od trzech pełnych lat poprzedzających rok złożenia wniosku o dofinansowanie projektu,</w:t>
      </w:r>
    </w:p>
    <w:p w14:paraId="64A2823E" w14:textId="77777777" w:rsidR="002117DB" w:rsidRPr="00F96176" w:rsidRDefault="002117DB" w:rsidP="00F96176">
      <w:pPr>
        <w:pStyle w:val="Akapitzlist"/>
        <w:numPr>
          <w:ilvl w:val="0"/>
          <w:numId w:val="39"/>
        </w:numPr>
        <w:spacing w:line="240" w:lineRule="auto"/>
        <w:ind w:left="567" w:hanging="283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okres realizacji projektu,</w:t>
      </w:r>
    </w:p>
    <w:p w14:paraId="496B6DCC" w14:textId="77777777" w:rsidR="002117DB" w:rsidRPr="00F96176" w:rsidRDefault="002117DB" w:rsidP="00F96176">
      <w:pPr>
        <w:pStyle w:val="Akapitzlist"/>
        <w:numPr>
          <w:ilvl w:val="0"/>
          <w:numId w:val="39"/>
        </w:numPr>
        <w:spacing w:line="240" w:lineRule="auto"/>
        <w:ind w:left="567" w:hanging="283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okres odniesienia (zgodnie ze wskazaniem w pkt 1.6) 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br/>
      </w:r>
    </w:p>
    <w:p w14:paraId="39600CD1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Model finansowy należy przedstawić w formie arkusza kalkulacyjnego. Arkusz kalkulacyjny powinien mieć odblokowane formuły, w celu weryfikacji poprawności dokonanych wyliczeń.</w:t>
      </w:r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br/>
      </w:r>
    </w:p>
    <w:p w14:paraId="34D8825F" w14:textId="0787846B" w:rsidR="002117DB" w:rsidRPr="00F96176" w:rsidRDefault="002117DB" w:rsidP="00F96176">
      <w:pPr>
        <w:pStyle w:val="Akapitzlist"/>
        <w:numPr>
          <w:ilvl w:val="1"/>
          <w:numId w:val="15"/>
        </w:numPr>
        <w:ind w:left="709" w:hanging="709"/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</w:pPr>
      <w:bookmarkStart w:id="24" w:name="_Toc138840681"/>
      <w:bookmarkStart w:id="25" w:name="_Toc180402101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>Analiza ryzyka i wrażliwości</w:t>
      </w:r>
      <w:bookmarkEnd w:id="24"/>
      <w:bookmarkEnd w:id="25"/>
      <w:r w:rsidRPr="00F96176">
        <w:rPr>
          <w:rFonts w:ascii="Arial" w:eastAsia="Times New Roman" w:hAnsi="Arial" w:cs="Arial"/>
          <w:b/>
          <w:bCs/>
          <w:iCs/>
          <w:sz w:val="24"/>
          <w:szCs w:val="24"/>
          <w:lang w:eastAsia="en-US"/>
        </w:rPr>
        <w:t xml:space="preserve"> </w:t>
      </w:r>
    </w:p>
    <w:p w14:paraId="710E452F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Ocena ryzyka (również w okresie trwałości) wymaga przeprowadzenia jakościowej analizy ryzyka oraz analizy wrażliwości. Analiza wrażliwości ma na celu wskazanie, jak zmiany w wartościach zmiennych krytycznych projektu wpłyną na wyniki analiz przeprowadzonych dla projektu, a w szczególności na wartość wskaźników efektywności finansowej i ekonomicznej projektu (w szczególności FNPV/C, FNPV/K oraz ENPV) oraz trwałość finansową. Analizy wrażliwości dokonuje się poprzez identyfikację zmiennych krytycznych, w drodze zmiany pojedynczych zmiennych o określoną procentowo wartość i obserwowanie występujących w rezultacie wahań w finansowych i ekonomicznych wskaźnikach efektywności oraz trwałości finansowej. </w:t>
      </w:r>
    </w:p>
    <w:p w14:paraId="4B8111A3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Zmienne poddane analizie w ramach analizy wrażliwości mogą zostać dobrane przez Wnioskodawcę w sposób odpowiadający specyfice projektu, sektora, beneficjenta/operatora.</w:t>
      </w:r>
    </w:p>
    <w:p w14:paraId="318E73E8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Jakościowa analiza ryzyka obejmować powinna opis sposobu zdefiniowania kategorii prawdopodobieństwa oraz wskazania, po czyjej stronie znajduje się ryzyko.</w:t>
      </w:r>
    </w:p>
    <w:p w14:paraId="41014F04" w14:textId="77777777" w:rsidR="002117DB" w:rsidRPr="00F96176" w:rsidRDefault="002117DB" w:rsidP="00F96176">
      <w:pPr>
        <w:pStyle w:val="Akapitzlist"/>
        <w:spacing w:line="240" w:lineRule="auto"/>
        <w:ind w:left="0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Szczegółowe wskazania co do metodyki analizy znajdują się w Wytycznych, Rozdział 8.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3A5DB6" w:rsidRPr="0036456E" w14:paraId="5291D679" w14:textId="77777777" w:rsidTr="00143320">
        <w:tc>
          <w:tcPr>
            <w:tcW w:w="9068" w:type="dxa"/>
          </w:tcPr>
          <w:p w14:paraId="74865CE5" w14:textId="77777777" w:rsidR="003A5DB6" w:rsidRPr="00F96176" w:rsidRDefault="003A5DB6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61A6AEEE" w14:textId="77777777" w:rsidR="003A5DB6" w:rsidRPr="00F96176" w:rsidRDefault="003A5DB6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D359CB" w14:textId="77777777" w:rsidR="0099101D" w:rsidRPr="00F96176" w:rsidRDefault="0099101D" w:rsidP="00736F05">
      <w:pPr>
        <w:pStyle w:val="Akapitzlist"/>
        <w:spacing w:beforeLines="60" w:before="144" w:afterLines="60" w:after="144" w:line="240" w:lineRule="auto"/>
        <w:ind w:left="360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</w:p>
    <w:p w14:paraId="685D7BA1" w14:textId="6F32E04A" w:rsidR="008D70FB" w:rsidRPr="00F96176" w:rsidRDefault="008D70FB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Trwałość projektu</w:t>
      </w:r>
    </w:p>
    <w:p w14:paraId="43E214E9" w14:textId="4B4F6595" w:rsidR="008D70FB" w:rsidRPr="00F96176" w:rsidRDefault="00666304" w:rsidP="00736F05">
      <w:pPr>
        <w:spacing w:beforeLines="60" w:before="144" w:afterLines="60" w:after="144" w:line="240" w:lineRule="auto"/>
        <w:rPr>
          <w:rFonts w:ascii="Arial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>A</w:t>
      </w:r>
      <w:r w:rsidR="008D70FB" w:rsidRPr="00F96176">
        <w:rPr>
          <w:rFonts w:ascii="Arial" w:hAnsi="Arial" w:cs="Arial"/>
          <w:b/>
          <w:bCs/>
          <w:sz w:val="24"/>
          <w:szCs w:val="24"/>
        </w:rPr>
        <w:t xml:space="preserve">nalizę ryzyka </w:t>
      </w:r>
      <w:r w:rsidRPr="00F96176">
        <w:rPr>
          <w:rFonts w:ascii="Arial" w:hAnsi="Arial" w:cs="Arial"/>
          <w:b/>
          <w:bCs/>
          <w:sz w:val="24"/>
          <w:szCs w:val="24"/>
        </w:rPr>
        <w:t>w projekcie</w:t>
      </w:r>
      <w:r w:rsidR="009D0FB6" w:rsidRPr="00F9617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96176">
        <w:rPr>
          <w:rFonts w:ascii="Arial" w:eastAsiaTheme="majorEastAsia" w:hAnsi="Arial" w:cs="Arial"/>
          <w:b/>
          <w:bCs/>
          <w:sz w:val="24"/>
          <w:szCs w:val="24"/>
        </w:rPr>
        <w:t>w okresie trwałości</w:t>
      </w:r>
      <w:r w:rsidR="009D0FB6" w:rsidRPr="00F96176">
        <w:rPr>
          <w:rFonts w:ascii="Arial" w:eastAsiaTheme="majorEastAsia" w:hAnsi="Arial" w:cs="Arial"/>
          <w:b/>
          <w:bCs/>
          <w:sz w:val="24"/>
          <w:szCs w:val="24"/>
        </w:rPr>
        <w:t xml:space="preserve"> </w:t>
      </w:r>
      <w:r w:rsidR="008D70FB" w:rsidRPr="00F96176">
        <w:rPr>
          <w:rFonts w:ascii="Arial" w:hAnsi="Arial" w:cs="Arial"/>
          <w:b/>
          <w:bCs/>
          <w:sz w:val="24"/>
          <w:szCs w:val="24"/>
        </w:rPr>
        <w:t xml:space="preserve">należy zawrzeć </w:t>
      </w:r>
      <w:r w:rsidR="001A6239" w:rsidRPr="00F96176">
        <w:rPr>
          <w:rFonts w:ascii="Arial" w:hAnsi="Arial" w:cs="Arial"/>
          <w:b/>
          <w:bCs/>
          <w:sz w:val="24"/>
          <w:szCs w:val="24"/>
        </w:rPr>
        <w:t xml:space="preserve">we wniosku o dofinansowanie </w:t>
      </w:r>
      <w:r w:rsidR="008D70FB" w:rsidRPr="00F96176">
        <w:rPr>
          <w:rFonts w:ascii="Arial" w:hAnsi="Arial" w:cs="Arial"/>
          <w:b/>
          <w:bCs/>
          <w:sz w:val="24"/>
          <w:szCs w:val="24"/>
        </w:rPr>
        <w:t xml:space="preserve">w </w:t>
      </w:r>
      <w:r w:rsidR="001A6239" w:rsidRPr="00F96176">
        <w:rPr>
          <w:rFonts w:ascii="Arial" w:hAnsi="Arial" w:cs="Arial"/>
          <w:b/>
          <w:bCs/>
          <w:sz w:val="24"/>
          <w:szCs w:val="24"/>
        </w:rPr>
        <w:t xml:space="preserve">sekcji </w:t>
      </w:r>
      <w:r w:rsidR="008C10EB" w:rsidRPr="00F96176">
        <w:rPr>
          <w:rFonts w:ascii="Arial" w:hAnsi="Arial" w:cs="Arial"/>
          <w:b/>
          <w:bCs/>
          <w:sz w:val="24"/>
          <w:szCs w:val="24"/>
        </w:rPr>
        <w:t xml:space="preserve">H2 </w:t>
      </w:r>
      <w:r w:rsidR="001A6239" w:rsidRPr="00F96176">
        <w:rPr>
          <w:rFonts w:ascii="Arial" w:hAnsi="Arial" w:cs="Arial"/>
          <w:b/>
          <w:bCs/>
          <w:sz w:val="24"/>
          <w:szCs w:val="24"/>
        </w:rPr>
        <w:t>Analiza ryzyka w projekcie</w:t>
      </w:r>
      <w:r w:rsidR="004934B2" w:rsidRPr="00F96176">
        <w:rPr>
          <w:rFonts w:ascii="Arial" w:hAnsi="Arial" w:cs="Arial"/>
          <w:b/>
          <w:bCs/>
          <w:sz w:val="24"/>
          <w:szCs w:val="24"/>
        </w:rPr>
        <w:t>.</w:t>
      </w:r>
      <w:r w:rsidR="00AB7116" w:rsidRPr="00F9617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32A3CA7" w14:textId="66856B0B" w:rsidR="008C10EB" w:rsidRPr="00F96176" w:rsidRDefault="008C10EB" w:rsidP="00736F05">
      <w:pPr>
        <w:spacing w:beforeLines="60" w:before="144" w:afterLines="60" w:after="144" w:line="240" w:lineRule="auto"/>
        <w:rPr>
          <w:rFonts w:ascii="Arial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>Utrzymanie celów projektu po zakończeniu jego realizacji – w okresie trwałości.</w:t>
      </w:r>
    </w:p>
    <w:p w14:paraId="5573D208" w14:textId="1D834F22" w:rsidR="008C10EB" w:rsidRPr="00F96176" w:rsidRDefault="008C10EB" w:rsidP="00E12F82">
      <w:pPr>
        <w:spacing w:beforeLines="60" w:before="144" w:afterLines="60" w:after="144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Należy opisać możliwość zapewnienia przez </w:t>
      </w:r>
      <w:r w:rsidR="008053DD"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Wnioskodawc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ę trwałości operacji, zgodnie z art. 65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7A70D3A1" w14:textId="228FA5F1" w:rsidR="008C10EB" w:rsidRPr="00F96176" w:rsidRDefault="008C10EB" w:rsidP="00E12F82">
      <w:pPr>
        <w:spacing w:beforeLines="60" w:before="144" w:afterLines="60" w:after="144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  <w:bookmarkStart w:id="26" w:name="_Hlk165353767"/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lastRenderedPageBreak/>
        <w:t xml:space="preserve">Należy uzasadnić zdolność </w:t>
      </w:r>
      <w:r w:rsidR="008053DD"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Wnioskodawc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 xml:space="preserve">y do utrzymania produktów oraz osiągnięcia/utrzymania rezultatów projektu pod względem organizacyjnym, finansowym i technicznym przez okres 5 lat od daty płatności końcowej na rzecz Beneficjenta oraz czy </w:t>
      </w:r>
      <w:r w:rsidR="008053DD"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Wnioskodawc</w:t>
      </w:r>
      <w:r w:rsidRPr="00F96176">
        <w:rPr>
          <w:rFonts w:ascii="Arial" w:eastAsia="Times New Roman" w:hAnsi="Arial" w:cs="Arial"/>
          <w:iCs/>
          <w:sz w:val="24"/>
          <w:szCs w:val="24"/>
          <w:lang w:eastAsia="en-US"/>
        </w:rPr>
        <w:t>a planuje wykorzystywać produkty projektu zgodnie z przeznaczeniem, a projekt w pełni spełnia założone w nim cele.</w:t>
      </w:r>
      <w:bookmarkEnd w:id="26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36456E" w14:paraId="0E6DAF98" w14:textId="77777777" w:rsidTr="00DB5A71">
        <w:tc>
          <w:tcPr>
            <w:tcW w:w="9068" w:type="dxa"/>
          </w:tcPr>
          <w:p w14:paraId="33F79948" w14:textId="77777777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461AD517" w14:textId="45BAC14E" w:rsidR="00253B99" w:rsidRPr="00F96176" w:rsidRDefault="00253B99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62C7BC" w14:textId="77777777" w:rsidR="0097710D" w:rsidRPr="00F96176" w:rsidRDefault="0097710D" w:rsidP="00736F05">
      <w:pPr>
        <w:spacing w:beforeLines="60" w:before="144" w:afterLines="60" w:after="144" w:line="240" w:lineRule="auto"/>
        <w:rPr>
          <w:rFonts w:ascii="Arial" w:eastAsia="Times New Roman" w:hAnsi="Arial" w:cs="Arial"/>
          <w:iCs/>
          <w:sz w:val="24"/>
          <w:szCs w:val="24"/>
          <w:lang w:eastAsia="en-US"/>
        </w:rPr>
      </w:pPr>
    </w:p>
    <w:p w14:paraId="5D7E3E74" w14:textId="3D62507D" w:rsidR="0097710D" w:rsidRPr="00F96176" w:rsidRDefault="0097710D" w:rsidP="004A4ECD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ind w:left="426" w:hanging="426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Zgodność z kartą praw podstawowych i Konwencją o prawach osób niepełnosprawnych</w:t>
      </w:r>
    </w:p>
    <w:p w14:paraId="6FE0E4CC" w14:textId="77777777" w:rsidR="004A4ECD" w:rsidRPr="00F96176" w:rsidRDefault="004A4ECD" w:rsidP="0036456E">
      <w:pPr>
        <w:pStyle w:val="Akapitzlist"/>
        <w:spacing w:beforeLines="60" w:before="144" w:afterLines="60" w:after="144" w:line="240" w:lineRule="auto"/>
        <w:ind w:left="426"/>
        <w:rPr>
          <w:rFonts w:ascii="Arial" w:eastAsiaTheme="majorEastAsia" w:hAnsi="Arial" w:cs="Arial"/>
          <w:b/>
          <w:bCs/>
          <w:sz w:val="24"/>
          <w:szCs w:val="24"/>
        </w:rPr>
      </w:pPr>
    </w:p>
    <w:p w14:paraId="1B144102" w14:textId="64F19E33" w:rsidR="0097710D" w:rsidRPr="00F96176" w:rsidRDefault="0097710D" w:rsidP="00F96176">
      <w:pPr>
        <w:pStyle w:val="Akapitzlist"/>
        <w:numPr>
          <w:ilvl w:val="1"/>
          <w:numId w:val="15"/>
        </w:numPr>
        <w:spacing w:beforeLines="60" w:before="144" w:afterLines="60" w:after="144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 xml:space="preserve">Należy uzasadnić zgodność projektu z </w:t>
      </w:r>
      <w:r w:rsidRPr="00F96176">
        <w:rPr>
          <w:rFonts w:ascii="Arial" w:hAnsi="Arial" w:cs="Arial"/>
          <w:b/>
          <w:bCs/>
          <w:i/>
          <w:iCs/>
          <w:sz w:val="24"/>
          <w:szCs w:val="24"/>
        </w:rPr>
        <w:t xml:space="preserve">Kartą praw podstawowych Unii Europejskiej </w:t>
      </w:r>
      <w:r w:rsidRPr="00F96176">
        <w:rPr>
          <w:rFonts w:ascii="Arial" w:hAnsi="Arial" w:cs="Arial"/>
          <w:b/>
          <w:bCs/>
          <w:sz w:val="24"/>
          <w:szCs w:val="24"/>
        </w:rPr>
        <w:t xml:space="preserve">z dnia 7 czerwca 2016 r. (Dz. Urz. UE </w:t>
      </w:r>
      <w:proofErr w:type="gramStart"/>
      <w:r w:rsidRPr="00F96176">
        <w:rPr>
          <w:rFonts w:ascii="Arial" w:hAnsi="Arial" w:cs="Arial"/>
          <w:b/>
          <w:bCs/>
          <w:sz w:val="24"/>
          <w:szCs w:val="24"/>
        </w:rPr>
        <w:t>C  202.389</w:t>
      </w:r>
      <w:proofErr w:type="gramEnd"/>
      <w:r w:rsidRPr="00F96176">
        <w:rPr>
          <w:rFonts w:ascii="Arial" w:hAnsi="Arial" w:cs="Arial"/>
          <w:b/>
          <w:bCs/>
          <w:sz w:val="24"/>
          <w:szCs w:val="24"/>
        </w:rPr>
        <w:t xml:space="preserve"> z 06.06.2016), w</w:t>
      </w:r>
      <w:r w:rsidR="00DB5A71" w:rsidRPr="00F96176">
        <w:rPr>
          <w:rFonts w:ascii="Arial" w:hAnsi="Arial" w:cs="Arial"/>
          <w:b/>
          <w:bCs/>
          <w:sz w:val="24"/>
          <w:szCs w:val="24"/>
        </w:rPr>
        <w:t> </w:t>
      </w:r>
      <w:r w:rsidRPr="00F96176">
        <w:rPr>
          <w:rFonts w:ascii="Arial" w:hAnsi="Arial" w:cs="Arial"/>
          <w:b/>
          <w:bCs/>
          <w:sz w:val="24"/>
          <w:szCs w:val="24"/>
        </w:rPr>
        <w:t xml:space="preserve">zakresie odnoszącym się do sposobu realizacji i zakresu projektu </w:t>
      </w:r>
    </w:p>
    <w:p w14:paraId="248E6E89" w14:textId="5211F653" w:rsidR="0097710D" w:rsidRPr="00F96176" w:rsidRDefault="0097710D" w:rsidP="00736F05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 xml:space="preserve">Zgodność projektu z </w:t>
      </w:r>
      <w:r w:rsidRPr="00F96176">
        <w:rPr>
          <w:rFonts w:ascii="Arial" w:hAnsi="Arial" w:cs="Arial"/>
          <w:i/>
          <w:iCs/>
          <w:sz w:val="24"/>
          <w:szCs w:val="24"/>
        </w:rPr>
        <w:t>Kartą praw podstawowych Unii Europejskiej</w:t>
      </w:r>
      <w:r w:rsidRPr="00F96176">
        <w:rPr>
          <w:rFonts w:ascii="Arial" w:hAnsi="Arial" w:cs="Arial"/>
          <w:sz w:val="24"/>
          <w:szCs w:val="24"/>
        </w:rPr>
        <w:t xml:space="preserve"> to brak sprzeczności pomiędzy zapisami projektu a wymogami tego dokumentu lub stwierdzenie, że te wymagania są neutralne wobec zakresu i zawartości projektu. Dla </w:t>
      </w:r>
      <w:r w:rsidR="008053DD" w:rsidRPr="00F96176">
        <w:rPr>
          <w:rFonts w:ascii="Arial" w:hAnsi="Arial" w:cs="Arial"/>
          <w:sz w:val="24"/>
          <w:szCs w:val="24"/>
        </w:rPr>
        <w:t>Wnioskodawc</w:t>
      </w:r>
      <w:r w:rsidRPr="00F96176">
        <w:rPr>
          <w:rFonts w:ascii="Arial" w:hAnsi="Arial" w:cs="Arial"/>
          <w:sz w:val="24"/>
          <w:szCs w:val="24"/>
        </w:rPr>
        <w:t xml:space="preserve">ów mogą być pomocne </w:t>
      </w:r>
      <w:r w:rsidRPr="00F96176">
        <w:rPr>
          <w:rFonts w:ascii="Arial" w:hAnsi="Arial" w:cs="Arial"/>
          <w:i/>
          <w:iCs/>
          <w:sz w:val="24"/>
          <w:szCs w:val="24"/>
        </w:rPr>
        <w:t>Wytyczne Komisji Europejskiej dotyczące zapewnienia poszanowania Karty praw podstawowych Unii Europejskiej przy wdrażaniu europejskich funduszy strukturalnych i inwestycyjnych</w:t>
      </w:r>
      <w:r w:rsidRPr="00F96176">
        <w:rPr>
          <w:rFonts w:ascii="Arial" w:hAnsi="Arial" w:cs="Arial"/>
          <w:sz w:val="24"/>
          <w:szCs w:val="24"/>
        </w:rPr>
        <w:t xml:space="preserve">, w szczególności załącznik nr III.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36456E" w14:paraId="0A60B437" w14:textId="77777777" w:rsidTr="001807B8">
        <w:tc>
          <w:tcPr>
            <w:tcW w:w="9973" w:type="dxa"/>
          </w:tcPr>
          <w:p w14:paraId="7A93D206" w14:textId="3CC03DCB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13ED1C3B" w14:textId="77777777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E0239D" w14:textId="1608E88F" w:rsidR="00DB5A71" w:rsidRPr="00F96176" w:rsidRDefault="0097710D" w:rsidP="00F96176">
      <w:pPr>
        <w:pStyle w:val="Akapitzlist"/>
        <w:numPr>
          <w:ilvl w:val="1"/>
          <w:numId w:val="15"/>
        </w:numPr>
        <w:spacing w:beforeLines="60" w:before="144" w:afterLines="60" w:after="144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F96176">
        <w:rPr>
          <w:rFonts w:ascii="Arial" w:hAnsi="Arial" w:cs="Arial"/>
          <w:b/>
          <w:bCs/>
          <w:sz w:val="24"/>
          <w:szCs w:val="24"/>
        </w:rPr>
        <w:t xml:space="preserve">Należy uzasadnić zgodność projektu z </w:t>
      </w:r>
      <w:r w:rsidRPr="00F96176">
        <w:rPr>
          <w:rFonts w:ascii="Arial" w:hAnsi="Arial" w:cs="Arial"/>
          <w:b/>
          <w:bCs/>
          <w:i/>
          <w:iCs/>
          <w:sz w:val="24"/>
          <w:szCs w:val="24"/>
        </w:rPr>
        <w:t>Konwencją o prawach osób niepełnosprawnych</w:t>
      </w:r>
      <w:r w:rsidRPr="00F96176">
        <w:rPr>
          <w:rFonts w:ascii="Arial" w:hAnsi="Arial" w:cs="Arial"/>
          <w:b/>
          <w:bCs/>
          <w:sz w:val="24"/>
          <w:szCs w:val="24"/>
        </w:rPr>
        <w:t xml:space="preserve">, sporządzoną w Nowym Jorku dnia 13 grudnia 2006 r. (Dz. U. z 2012 r. poz. 1169, z </w:t>
      </w:r>
      <w:proofErr w:type="spellStart"/>
      <w:r w:rsidRPr="00F96176">
        <w:rPr>
          <w:rFonts w:ascii="Arial" w:hAnsi="Arial" w:cs="Arial"/>
          <w:b/>
          <w:bCs/>
          <w:sz w:val="24"/>
          <w:szCs w:val="24"/>
        </w:rPr>
        <w:t>późn</w:t>
      </w:r>
      <w:proofErr w:type="spellEnd"/>
      <w:r w:rsidRPr="00F96176">
        <w:rPr>
          <w:rFonts w:ascii="Arial" w:hAnsi="Arial" w:cs="Arial"/>
          <w:b/>
          <w:bCs/>
          <w:sz w:val="24"/>
          <w:szCs w:val="24"/>
        </w:rPr>
        <w:t xml:space="preserve">. zm.), w tym z </w:t>
      </w:r>
      <w:r w:rsidRPr="00F96176">
        <w:rPr>
          <w:rFonts w:ascii="Arial" w:hAnsi="Arial" w:cs="Arial"/>
          <w:b/>
          <w:bCs/>
          <w:i/>
          <w:iCs/>
          <w:sz w:val="24"/>
          <w:szCs w:val="24"/>
        </w:rPr>
        <w:t>Komentarzem ogólnym Nr 5 na temat niezależnego życia i bycia częścią społeczności</w:t>
      </w:r>
      <w:r w:rsidRPr="00F96176">
        <w:rPr>
          <w:rFonts w:ascii="Arial" w:hAnsi="Arial" w:cs="Arial"/>
          <w:b/>
          <w:bCs/>
          <w:sz w:val="24"/>
          <w:szCs w:val="24"/>
        </w:rPr>
        <w:t xml:space="preserve"> (2017) Komitetu ONZ ds. Praw Osób Niepełnosprawnych oraz </w:t>
      </w:r>
      <w:r w:rsidRPr="00F96176">
        <w:rPr>
          <w:rFonts w:ascii="Arial" w:hAnsi="Arial" w:cs="Arial"/>
          <w:b/>
          <w:bCs/>
          <w:i/>
          <w:iCs/>
          <w:sz w:val="24"/>
          <w:szCs w:val="24"/>
        </w:rPr>
        <w:t>Uwagami końcowymi dla Polski Komitetu ONZ ds. Praw Osób Niepełnosprawnych w zakresie odnoszącym się do sposobu realizacji i zakresu projektu</w:t>
      </w:r>
      <w:r w:rsidRPr="00F96176">
        <w:rPr>
          <w:rFonts w:ascii="Arial" w:hAnsi="Arial" w:cs="Arial"/>
          <w:b/>
          <w:bCs/>
          <w:sz w:val="24"/>
          <w:szCs w:val="24"/>
        </w:rPr>
        <w:t>.</w:t>
      </w:r>
    </w:p>
    <w:p w14:paraId="4B5A0D90" w14:textId="07EE4BD7" w:rsidR="0097710D" w:rsidRPr="00F96176" w:rsidRDefault="0097710D" w:rsidP="00736F05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F96176">
        <w:rPr>
          <w:rFonts w:ascii="Arial" w:hAnsi="Arial" w:cs="Arial"/>
          <w:sz w:val="24"/>
          <w:szCs w:val="24"/>
        </w:rPr>
        <w:t>Zgodność projektu z Konwencją o prawach osób niepełnosprawnych należy rozumieć jako brak sprzeczności pomiędzy zapisami projektu a wymogami tego dokumentu lub stwierdzenie, że te wymagania są neutralne wobec zakresu i zawartości projektu.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7710D" w:rsidRPr="0036456E" w14:paraId="6E0FFADF" w14:textId="77777777" w:rsidTr="00DB5A71">
        <w:tc>
          <w:tcPr>
            <w:tcW w:w="9068" w:type="dxa"/>
          </w:tcPr>
          <w:p w14:paraId="38E27DC6" w14:textId="360F5808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27" w:name="_Hlk180486977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63FFF968" w14:textId="77777777" w:rsidR="0097710D" w:rsidRPr="00F96176" w:rsidRDefault="0097710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7"/>
    </w:tbl>
    <w:p w14:paraId="71C870E1" w14:textId="77777777" w:rsidR="008C10EB" w:rsidRPr="00F96176" w:rsidRDefault="008C10EB" w:rsidP="00736F05">
      <w:pPr>
        <w:spacing w:beforeLines="60" w:before="144" w:afterLines="60" w:after="144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7381B7E2" w14:textId="44B1351E" w:rsidR="008C213F" w:rsidRPr="00F96176" w:rsidRDefault="008C213F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96176">
        <w:rPr>
          <w:rFonts w:ascii="Arial" w:eastAsiaTheme="majorEastAsia" w:hAnsi="Arial" w:cs="Arial"/>
          <w:b/>
          <w:bCs/>
          <w:sz w:val="24"/>
          <w:szCs w:val="24"/>
        </w:rPr>
        <w:t>Zgodność z zasadą równości szans i niedyskryminacji, w tym dostępności dla osób z niepełnosprawnościami</w:t>
      </w:r>
    </w:p>
    <w:p w14:paraId="1D5B1213" w14:textId="60888544" w:rsidR="0078479F" w:rsidRPr="00F96176" w:rsidRDefault="00C15483" w:rsidP="00F96176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rPr>
          <w:rFonts w:ascii="Arial" w:hAnsi="Arial" w:cs="Arial"/>
          <w:b/>
          <w:bCs/>
          <w:color w:val="000000"/>
          <w:sz w:val="24"/>
          <w:szCs w:val="24"/>
        </w:rPr>
      </w:pPr>
      <w:r w:rsidRPr="00F96176">
        <w:rPr>
          <w:rFonts w:ascii="Arial" w:hAnsi="Arial" w:cs="Arial"/>
          <w:b/>
          <w:bCs/>
          <w:color w:val="000000"/>
          <w:sz w:val="24"/>
          <w:szCs w:val="24"/>
        </w:rPr>
        <w:t>W</w:t>
      </w:r>
      <w:r w:rsidR="0078479F" w:rsidRPr="00F96176">
        <w:rPr>
          <w:rFonts w:ascii="Arial" w:hAnsi="Arial" w:cs="Arial"/>
          <w:b/>
          <w:bCs/>
          <w:color w:val="000000"/>
          <w:sz w:val="24"/>
          <w:szCs w:val="24"/>
        </w:rPr>
        <w:t xml:space="preserve">pływ </w:t>
      </w:r>
      <w:r w:rsidRPr="00F96176">
        <w:rPr>
          <w:rFonts w:ascii="Arial" w:hAnsi="Arial" w:cs="Arial"/>
          <w:b/>
          <w:bCs/>
          <w:color w:val="000000"/>
          <w:sz w:val="24"/>
          <w:szCs w:val="24"/>
        </w:rPr>
        <w:t xml:space="preserve">projektu </w:t>
      </w:r>
      <w:r w:rsidR="0078479F" w:rsidRPr="00F96176">
        <w:rPr>
          <w:rFonts w:ascii="Arial" w:hAnsi="Arial" w:cs="Arial"/>
          <w:b/>
          <w:bCs/>
          <w:color w:val="000000"/>
          <w:sz w:val="24"/>
          <w:szCs w:val="24"/>
        </w:rPr>
        <w:t xml:space="preserve">na zasadę równości szans i niedyskryminacji </w:t>
      </w:r>
    </w:p>
    <w:p w14:paraId="49D118A0" w14:textId="09BEE6A8" w:rsidR="0078479F" w:rsidRPr="00F96176" w:rsidRDefault="0078479F" w:rsidP="00736F05">
      <w:pPr>
        <w:pStyle w:val="Default"/>
        <w:spacing w:beforeLines="60" w:before="144" w:afterLines="60" w:after="144"/>
        <w:rPr>
          <w:rFonts w:ascii="Arial" w:hAnsi="Arial" w:cs="Arial"/>
          <w:sz w:val="24"/>
        </w:rPr>
      </w:pPr>
      <w:r w:rsidRPr="00F96176">
        <w:rPr>
          <w:rFonts w:ascii="Arial" w:hAnsi="Arial" w:cs="Arial"/>
          <w:sz w:val="24"/>
        </w:rPr>
        <w:t xml:space="preserve">Projekt musi zapewnić dostępność dla wszystkich użytkowników bez jakiejkolwiek dyskryminacji, w tym dla osób z niepełnosprawnościami, zgodnie z </w:t>
      </w:r>
      <w:r w:rsidRPr="00F96176">
        <w:rPr>
          <w:rFonts w:ascii="Arial" w:hAnsi="Arial" w:cs="Arial"/>
          <w:i/>
          <w:iCs/>
          <w:sz w:val="24"/>
        </w:rPr>
        <w:lastRenderedPageBreak/>
        <w:t>Rozporządzeniem 2021/1060</w:t>
      </w:r>
      <w:r w:rsidRPr="00F96176">
        <w:rPr>
          <w:rFonts w:ascii="Arial" w:hAnsi="Arial" w:cs="Arial"/>
          <w:sz w:val="24"/>
        </w:rPr>
        <w:t xml:space="preserve"> (w szczególności art.</w:t>
      </w:r>
      <w:r w:rsidR="00947CE7">
        <w:rPr>
          <w:rFonts w:ascii="Arial" w:hAnsi="Arial" w:cs="Arial"/>
          <w:sz w:val="24"/>
        </w:rPr>
        <w:t xml:space="preserve"> </w:t>
      </w:r>
      <w:r w:rsidRPr="00F96176">
        <w:rPr>
          <w:rFonts w:ascii="Arial" w:hAnsi="Arial" w:cs="Arial"/>
          <w:sz w:val="24"/>
        </w:rPr>
        <w:t xml:space="preserve">9), oraz </w:t>
      </w:r>
      <w:r w:rsidRPr="00F96176">
        <w:rPr>
          <w:rFonts w:ascii="Arial" w:hAnsi="Arial" w:cs="Arial"/>
          <w:i/>
          <w:iCs/>
          <w:sz w:val="24"/>
        </w:rPr>
        <w:t>Wytycznymi dotyczącymi realizacji zasad równościowych w ramach funduszy unijnych na lata 2021-2027</w:t>
      </w:r>
      <w:r w:rsidRPr="00F96176">
        <w:rPr>
          <w:rFonts w:ascii="Arial" w:hAnsi="Arial" w:cs="Arial"/>
          <w:sz w:val="24"/>
        </w:rPr>
        <w:t>.</w:t>
      </w:r>
    </w:p>
    <w:p w14:paraId="75AA9507" w14:textId="77777777" w:rsidR="0078479F" w:rsidRPr="00F96176" w:rsidRDefault="0078479F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color w:val="000000"/>
          <w:sz w:val="24"/>
          <w:szCs w:val="24"/>
        </w:rPr>
      </w:pPr>
      <w:r w:rsidRPr="00F96176">
        <w:rPr>
          <w:rFonts w:ascii="Arial" w:hAnsi="Arial" w:cs="Arial"/>
          <w:color w:val="000000"/>
          <w:sz w:val="24"/>
          <w:szCs w:val="24"/>
        </w:rPr>
        <w:t>Przez pozytywny wpływ należy rozumieć zapewnienie dostępności 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osobami.</w:t>
      </w:r>
    </w:p>
    <w:p w14:paraId="3759FFA4" w14:textId="4A081486" w:rsidR="00E96C6A" w:rsidRPr="00F96176" w:rsidRDefault="0078479F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color w:val="000000"/>
          <w:sz w:val="24"/>
          <w:szCs w:val="24"/>
        </w:rPr>
      </w:pPr>
      <w:r w:rsidRPr="00F96176">
        <w:rPr>
          <w:rFonts w:ascii="Arial" w:hAnsi="Arial" w:cs="Arial"/>
          <w:color w:val="000000"/>
          <w:sz w:val="24"/>
          <w:szCs w:val="24"/>
        </w:rPr>
        <w:t xml:space="preserve">Dopuszczalne jest uznanie neutralności poszczególnych produktów/ usług projektu w stosunku do ww. zasady, o ile </w:t>
      </w:r>
      <w:r w:rsidR="008053DD" w:rsidRPr="00F96176">
        <w:rPr>
          <w:rFonts w:ascii="Arial" w:hAnsi="Arial" w:cs="Arial"/>
          <w:color w:val="000000"/>
          <w:sz w:val="24"/>
          <w:szCs w:val="24"/>
        </w:rPr>
        <w:t>Wnioskodawc</w:t>
      </w:r>
      <w:r w:rsidRPr="00F96176">
        <w:rPr>
          <w:rFonts w:ascii="Arial" w:hAnsi="Arial" w:cs="Arial"/>
          <w:color w:val="000000"/>
          <w:sz w:val="24"/>
          <w:szCs w:val="24"/>
        </w:rPr>
        <w:t>a wykaże, że produkty/ usługi nie mają swoich bezpośrednich użytkowników/ użytkowniczek (np. trakcje kolejowe, instalacje elektryczne, linie przesyłowe, automatyczne linie produkcyjne, zbiorniki retencyjne, nowe lub usprawnione procesy technologiczne). W takiej sytuacji również uznaje się, że projekt ma pozytywny wpływ na ww. zasadę.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78479F" w:rsidRPr="0036456E" w14:paraId="185CB515" w14:textId="77777777" w:rsidTr="008526C7">
        <w:tc>
          <w:tcPr>
            <w:tcW w:w="9973" w:type="dxa"/>
          </w:tcPr>
          <w:p w14:paraId="56322A1F" w14:textId="05B10918" w:rsidR="0078479F" w:rsidRPr="00F96176" w:rsidRDefault="0078479F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28" w:name="_Hlk180488568"/>
            <w:r w:rsidRPr="00F96176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5D86D315" w14:textId="77777777" w:rsidR="0078479F" w:rsidRPr="00F96176" w:rsidRDefault="0078479F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28"/>
    <w:p w14:paraId="342BC12C" w14:textId="6CD1B998" w:rsidR="00DB5A71" w:rsidRPr="0036456E" w:rsidRDefault="00DB5A71" w:rsidP="00F96176">
      <w:pPr>
        <w:pStyle w:val="Akapitzlist"/>
        <w:numPr>
          <w:ilvl w:val="1"/>
          <w:numId w:val="53"/>
        </w:numPr>
        <w:autoSpaceDE w:val="0"/>
        <w:autoSpaceDN w:val="0"/>
        <w:adjustRightInd w:val="0"/>
        <w:spacing w:beforeLines="60" w:before="144" w:afterLines="60" w:after="144" w:line="240" w:lineRule="auto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36456E">
        <w:rPr>
          <w:rFonts w:ascii="Arial" w:hAnsi="Arial" w:cs="Arial"/>
          <w:b/>
          <w:bCs/>
          <w:sz w:val="24"/>
          <w:szCs w:val="24"/>
        </w:rPr>
        <w:t>Przepisy antydyskryminacyjne</w:t>
      </w:r>
      <w:r w:rsidR="00C15483" w:rsidRPr="0036456E">
        <w:rPr>
          <w:rFonts w:ascii="Arial" w:hAnsi="Arial" w:cs="Arial"/>
          <w:b/>
          <w:bCs/>
          <w:sz w:val="24"/>
          <w:szCs w:val="24"/>
        </w:rPr>
        <w:t xml:space="preserve"> (jeżeli dotyczy)</w:t>
      </w:r>
    </w:p>
    <w:p w14:paraId="4F0136F4" w14:textId="5CB1611C" w:rsidR="00E73642" w:rsidRPr="0036456E" w:rsidRDefault="0078479F" w:rsidP="00E12F82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W przypadku</w:t>
      </w:r>
      <w:r w:rsidR="009C572E" w:rsidRPr="0036456E">
        <w:rPr>
          <w:rFonts w:ascii="Arial" w:hAnsi="Arial" w:cs="Arial"/>
          <w:sz w:val="24"/>
          <w:szCs w:val="24"/>
        </w:rPr>
        <w:t xml:space="preserve">, gdy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="009C572E" w:rsidRPr="0036456E">
        <w:rPr>
          <w:rFonts w:ascii="Arial" w:hAnsi="Arial" w:cs="Arial"/>
          <w:sz w:val="24"/>
          <w:szCs w:val="24"/>
        </w:rPr>
        <w:t>ą jest:</w:t>
      </w:r>
    </w:p>
    <w:p w14:paraId="1E29AAE9" w14:textId="06BD2D47" w:rsidR="00E73642" w:rsidRPr="0036456E" w:rsidRDefault="0078479F" w:rsidP="00E12F82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jednost</w:t>
      </w:r>
      <w:r w:rsidR="009C572E" w:rsidRPr="0036456E">
        <w:rPr>
          <w:rFonts w:ascii="Arial" w:hAnsi="Arial" w:cs="Arial"/>
          <w:sz w:val="24"/>
          <w:szCs w:val="24"/>
        </w:rPr>
        <w:t>ka</w:t>
      </w:r>
      <w:r w:rsidRPr="0036456E">
        <w:rPr>
          <w:rFonts w:ascii="Arial" w:hAnsi="Arial" w:cs="Arial"/>
          <w:sz w:val="24"/>
          <w:szCs w:val="24"/>
        </w:rPr>
        <w:t xml:space="preserve"> samorządu terytorialnego</w:t>
      </w:r>
      <w:r w:rsidR="004800CC" w:rsidRPr="0036456E">
        <w:rPr>
          <w:rFonts w:ascii="Arial" w:hAnsi="Arial" w:cs="Arial"/>
          <w:sz w:val="24"/>
          <w:szCs w:val="24"/>
        </w:rPr>
        <w:t xml:space="preserve">, </w:t>
      </w:r>
    </w:p>
    <w:p w14:paraId="536F1DEB" w14:textId="49B9C36E" w:rsidR="00E73642" w:rsidRPr="0036456E" w:rsidRDefault="00E73642" w:rsidP="00E12F82">
      <w:pPr>
        <w:pStyle w:val="Akapitzlist"/>
        <w:numPr>
          <w:ilvl w:val="0"/>
          <w:numId w:val="26"/>
        </w:num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podmiot kontrolowany przez jednostkę samorządu terytorialnego lub podmiot zależny od jednostki samorządu terytorialnego</w:t>
      </w:r>
      <w:r w:rsidR="004800CC" w:rsidRPr="0036456E">
        <w:rPr>
          <w:rFonts w:ascii="Arial" w:hAnsi="Arial" w:cs="Arial"/>
          <w:sz w:val="24"/>
          <w:szCs w:val="24"/>
        </w:rPr>
        <w:t>,</w:t>
      </w:r>
    </w:p>
    <w:p w14:paraId="26C0DCC3" w14:textId="11F5F24F" w:rsidR="0078479F" w:rsidRPr="0036456E" w:rsidRDefault="0078479F" w:rsidP="00E12F82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 xml:space="preserve">należy wyjaśnić czy </w:t>
      </w:r>
      <w:r w:rsidR="00E73642" w:rsidRPr="0036456E">
        <w:rPr>
          <w:rFonts w:ascii="Arial" w:hAnsi="Arial" w:cs="Arial"/>
          <w:sz w:val="24"/>
          <w:szCs w:val="24"/>
        </w:rPr>
        <w:t>na</w:t>
      </w:r>
      <w:r w:rsidR="004800CC" w:rsidRPr="0036456E">
        <w:rPr>
          <w:rFonts w:ascii="Arial" w:hAnsi="Arial" w:cs="Arial"/>
          <w:sz w:val="24"/>
          <w:szCs w:val="24"/>
        </w:rPr>
        <w:t xml:space="preserve"> </w:t>
      </w:r>
      <w:r w:rsidR="00760CA8" w:rsidRPr="0036456E">
        <w:rPr>
          <w:rFonts w:ascii="Arial" w:hAnsi="Arial" w:cs="Arial"/>
          <w:sz w:val="24"/>
          <w:szCs w:val="24"/>
        </w:rPr>
        <w:t>t</w:t>
      </w:r>
      <w:r w:rsidR="00E73642" w:rsidRPr="0036456E">
        <w:rPr>
          <w:rFonts w:ascii="Arial" w:hAnsi="Arial" w:cs="Arial"/>
          <w:sz w:val="24"/>
          <w:szCs w:val="24"/>
        </w:rPr>
        <w:t>erenie</w:t>
      </w:r>
      <w:r w:rsidR="00760CA8" w:rsidRPr="0036456E">
        <w:rPr>
          <w:rFonts w:ascii="Arial" w:hAnsi="Arial" w:cs="Arial"/>
          <w:sz w:val="24"/>
          <w:szCs w:val="24"/>
        </w:rPr>
        <w:t xml:space="preserve"> Wnioskodawcy</w:t>
      </w:r>
      <w:r w:rsidR="00E73642" w:rsidRPr="0036456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62247543" w14:textId="16D9BC5F" w:rsidR="004800CC" w:rsidRPr="0036456E" w:rsidRDefault="00E73642" w:rsidP="00E12F82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 xml:space="preserve">Wsparcie będzie udzielane wyłącznie projektom i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 xml:space="preserve">om, którzy przestrzegają przepisów antydyskryminacyjnych, o których mowa w art. 9 ust. 3 Rozporządzenia PE i Rady nr 2021/1060. </w:t>
      </w:r>
    </w:p>
    <w:p w14:paraId="4F118EF6" w14:textId="77777777" w:rsidR="0078479F" w:rsidRPr="0036456E" w:rsidRDefault="0078479F" w:rsidP="00E12F82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C572E" w:rsidRPr="0036456E" w14:paraId="0E3CE699" w14:textId="77777777" w:rsidTr="008526C7">
        <w:tc>
          <w:tcPr>
            <w:tcW w:w="9973" w:type="dxa"/>
          </w:tcPr>
          <w:p w14:paraId="2E452C16" w14:textId="73B69D8E" w:rsidR="009C572E" w:rsidRPr="0036456E" w:rsidRDefault="009C572E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29" w:name="_Hlk180488781"/>
            <w:r w:rsidRPr="003645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2EB91A91" w14:textId="77777777" w:rsidR="009C572E" w:rsidRPr="0036456E" w:rsidRDefault="009C572E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9"/>
    </w:tbl>
    <w:p w14:paraId="19D0B90F" w14:textId="49FA00CA" w:rsidR="0078479F" w:rsidRPr="0036456E" w:rsidRDefault="0078479F" w:rsidP="00736F05">
      <w:pPr>
        <w:spacing w:beforeLines="60" w:before="144" w:afterLines="60" w:after="144" w:line="240" w:lineRule="auto"/>
        <w:rPr>
          <w:rFonts w:ascii="Arial" w:hAnsi="Arial" w:cs="Arial"/>
          <w:b/>
          <w:sz w:val="24"/>
          <w:szCs w:val="24"/>
        </w:rPr>
      </w:pPr>
    </w:p>
    <w:p w14:paraId="1D5B6543" w14:textId="39257347" w:rsidR="009C572E" w:rsidRPr="0036456E" w:rsidRDefault="009C572E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36456E">
        <w:rPr>
          <w:rFonts w:ascii="Arial" w:eastAsiaTheme="majorEastAsia" w:hAnsi="Arial" w:cs="Arial"/>
          <w:b/>
          <w:bCs/>
          <w:sz w:val="24"/>
          <w:szCs w:val="24"/>
        </w:rPr>
        <w:t>Zgodność z zasadą równości kobiet i mężczyzn</w:t>
      </w:r>
    </w:p>
    <w:p w14:paraId="514401CC" w14:textId="6F74E809" w:rsidR="009C572E" w:rsidRPr="0036456E" w:rsidRDefault="009C572E" w:rsidP="00736F05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 w:rsidRPr="0036456E">
        <w:rPr>
          <w:rFonts w:ascii="Arial" w:hAnsi="Arial" w:cs="Arial"/>
          <w:sz w:val="24"/>
          <w:szCs w:val="24"/>
        </w:rPr>
        <w:t>Należy wykazać</w:t>
      </w:r>
      <w:r w:rsidR="00760CA8" w:rsidRPr="0036456E">
        <w:rPr>
          <w:rFonts w:ascii="Arial" w:hAnsi="Arial" w:cs="Arial"/>
          <w:sz w:val="24"/>
          <w:szCs w:val="24"/>
        </w:rPr>
        <w:t>,</w:t>
      </w:r>
      <w:r w:rsidRPr="0036456E">
        <w:rPr>
          <w:rFonts w:ascii="Arial" w:hAnsi="Arial" w:cs="Arial"/>
          <w:sz w:val="24"/>
          <w:szCs w:val="24"/>
        </w:rPr>
        <w:t xml:space="preserve"> w jaki sposób projekt będzie zgodny z zasadą równości kobiet i mężczyzn. Zgodność projektu zostanie </w:t>
      </w:r>
      <w:proofErr w:type="gramStart"/>
      <w:r w:rsidRPr="0036456E">
        <w:rPr>
          <w:rFonts w:ascii="Arial" w:hAnsi="Arial" w:cs="Arial"/>
          <w:sz w:val="24"/>
          <w:szCs w:val="24"/>
        </w:rPr>
        <w:t>uznana</w:t>
      </w:r>
      <w:proofErr w:type="gramEnd"/>
      <w:r w:rsidRPr="0036456E">
        <w:rPr>
          <w:rFonts w:ascii="Arial" w:hAnsi="Arial" w:cs="Arial"/>
          <w:sz w:val="24"/>
          <w:szCs w:val="24"/>
        </w:rPr>
        <w:t xml:space="preserve"> jeśli projekt ma pozytywny bądź neutralny wpływ na zasadę równości kobiet i mężczyzn (zgodnie z zapisami </w:t>
      </w:r>
      <w:r w:rsidRPr="0036456E">
        <w:rPr>
          <w:rFonts w:ascii="Arial" w:hAnsi="Arial" w:cs="Arial"/>
          <w:i/>
          <w:iCs/>
          <w:sz w:val="24"/>
          <w:szCs w:val="24"/>
        </w:rPr>
        <w:t>„Wytycznych dotyczących realizacji zasad równościowych w ramach funduszy unijnych na lata 2021-2027”).</w:t>
      </w:r>
      <w:r w:rsidRPr="0036456E">
        <w:rPr>
          <w:rFonts w:ascii="Arial" w:hAnsi="Arial" w:cs="Arial"/>
          <w:sz w:val="24"/>
          <w:szCs w:val="24"/>
        </w:rPr>
        <w:t xml:space="preserve">  </w:t>
      </w:r>
      <w:r w:rsidRPr="0036456E">
        <w:rPr>
          <w:rFonts w:ascii="Arial" w:hAnsi="Arial" w:cs="Arial"/>
          <w:sz w:val="24"/>
          <w:szCs w:val="24"/>
        </w:rPr>
        <w:br/>
        <w:t xml:space="preserve">Aby właściwie ocenić wpływ projektu na realizację tej zasady,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 xml:space="preserve">a najpierw musi rozważyć, czy poprzez projekt można wyrównywać szanse osób, które </w:t>
      </w:r>
      <w:r w:rsidRPr="0036456E">
        <w:rPr>
          <w:rFonts w:ascii="Arial" w:hAnsi="Arial" w:cs="Arial"/>
          <w:sz w:val="24"/>
          <w:szCs w:val="24"/>
        </w:rPr>
        <w:lastRenderedPageBreak/>
        <w:t xml:space="preserve">w danym obszarze, znajdują się w gorszym położeniu. Następnie wymagane jest, by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>a zaplanował działania przyczyniające się do wyrównania szans osób będących w gorszym położeniu.</w:t>
      </w:r>
      <w:r w:rsidRPr="0036456E">
        <w:rPr>
          <w:rFonts w:ascii="Arial" w:hAnsi="Arial" w:cs="Arial"/>
          <w:sz w:val="24"/>
          <w:szCs w:val="24"/>
        </w:rPr>
        <w:br/>
        <w:t xml:space="preserve">Jeżeli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 xml:space="preserve">a stwierdzi, że w ramach projektu nie da się zrealizować żadnych działań w zakresie tej zasady, wtedy projekt może mieć neutralny wpływ na zasadę równości kobiet i mężczyzn. </w:t>
      </w:r>
      <w:r w:rsidR="008053DD" w:rsidRPr="0036456E">
        <w:rPr>
          <w:rFonts w:ascii="Arial" w:hAnsi="Arial" w:cs="Arial"/>
          <w:sz w:val="24"/>
          <w:szCs w:val="24"/>
        </w:rPr>
        <w:t>Wnioskodawc</w:t>
      </w:r>
      <w:r w:rsidRPr="0036456E">
        <w:rPr>
          <w:rFonts w:ascii="Arial" w:hAnsi="Arial" w:cs="Arial"/>
          <w:sz w:val="24"/>
          <w:szCs w:val="24"/>
        </w:rPr>
        <w:t>a musi jednak przedstawić konkretne uzasadnienie, dlaczego jest to niemożliwe w danym projekcie.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9C572E" w:rsidRPr="0036456E" w14:paraId="1EAC4E9C" w14:textId="77777777" w:rsidTr="008526C7">
        <w:tc>
          <w:tcPr>
            <w:tcW w:w="9973" w:type="dxa"/>
          </w:tcPr>
          <w:p w14:paraId="75BB0CBF" w14:textId="5B0EB72A" w:rsidR="009C572E" w:rsidRPr="0036456E" w:rsidRDefault="009C572E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30" w:name="_Hlk180489315"/>
            <w:r w:rsidRPr="003645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23E4E184" w14:textId="77777777" w:rsidR="009C572E" w:rsidRPr="0036456E" w:rsidRDefault="009C572E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0"/>
    </w:tbl>
    <w:p w14:paraId="35BAD8D1" w14:textId="77777777" w:rsidR="009C572E" w:rsidRPr="0036456E" w:rsidRDefault="009C572E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50BAF3C6" w14:textId="4E36781C" w:rsidR="009C572E" w:rsidRPr="0036456E" w:rsidRDefault="009C572E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bookmarkStart w:id="31" w:name="_Hlk180489338"/>
      <w:bookmarkStart w:id="32" w:name="_Hlk180489363"/>
      <w:r w:rsidRPr="0036456E">
        <w:rPr>
          <w:rFonts w:ascii="Arial" w:eastAsiaTheme="majorEastAsia" w:hAnsi="Arial" w:cs="Arial"/>
          <w:b/>
          <w:bCs/>
          <w:sz w:val="24"/>
          <w:szCs w:val="24"/>
        </w:rPr>
        <w:t xml:space="preserve">Zgodność z zasadą zrównoważonego rozwoju </w:t>
      </w:r>
      <w:bookmarkEnd w:id="31"/>
      <w:r w:rsidRPr="0036456E">
        <w:rPr>
          <w:rFonts w:ascii="Arial" w:eastAsiaTheme="majorEastAsia" w:hAnsi="Arial" w:cs="Arial"/>
          <w:b/>
          <w:bCs/>
          <w:sz w:val="24"/>
          <w:szCs w:val="24"/>
        </w:rPr>
        <w:t>oraz DNSH</w:t>
      </w:r>
    </w:p>
    <w:bookmarkEnd w:id="32"/>
    <w:p w14:paraId="590EE579" w14:textId="7401E4E0" w:rsidR="004761BC" w:rsidRPr="0036456E" w:rsidRDefault="004761BC" w:rsidP="00736F05">
      <w:pPr>
        <w:spacing w:beforeLines="60" w:before="144" w:afterLines="60" w:after="144" w:line="240" w:lineRule="auto"/>
        <w:rPr>
          <w:rFonts w:ascii="Arial" w:hAnsi="Arial" w:cs="Arial"/>
          <w:b/>
          <w:sz w:val="24"/>
          <w:szCs w:val="24"/>
        </w:rPr>
      </w:pPr>
      <w:r w:rsidRPr="0036456E">
        <w:rPr>
          <w:rFonts w:ascii="Arial" w:hAnsi="Arial" w:cs="Arial"/>
          <w:b/>
          <w:sz w:val="24"/>
          <w:szCs w:val="24"/>
        </w:rPr>
        <w:t>Zgodność z zasadą zrównoważonego rozwoju</w:t>
      </w:r>
    </w:p>
    <w:p w14:paraId="6CD09D27" w14:textId="27794FC6" w:rsidR="009C572E" w:rsidRPr="0036456E" w:rsidRDefault="008053DD" w:rsidP="00736F05">
      <w:pPr>
        <w:spacing w:beforeLines="60" w:before="144" w:afterLines="60" w:after="144" w:line="240" w:lineRule="auto"/>
        <w:rPr>
          <w:rFonts w:ascii="Arial" w:hAnsi="Arial" w:cs="Arial"/>
          <w:bCs/>
          <w:sz w:val="24"/>
          <w:szCs w:val="24"/>
        </w:rPr>
      </w:pPr>
      <w:r w:rsidRPr="0036456E">
        <w:rPr>
          <w:rFonts w:ascii="Arial" w:hAnsi="Arial" w:cs="Arial"/>
          <w:bCs/>
          <w:sz w:val="24"/>
          <w:szCs w:val="24"/>
        </w:rPr>
        <w:t>Wnioskodawc</w:t>
      </w:r>
      <w:r w:rsidR="009C572E" w:rsidRPr="0036456E">
        <w:rPr>
          <w:rFonts w:ascii="Arial" w:hAnsi="Arial" w:cs="Arial"/>
          <w:bCs/>
          <w:sz w:val="24"/>
          <w:szCs w:val="24"/>
        </w:rPr>
        <w:t xml:space="preserve">a powinien spełniać zasadę zrównoważonego rozwoju poprzez stosowanie właściwych rozwiązań podczas realizacji projektu. Stosownie do charakteru projektu, wymagane jest, </w:t>
      </w:r>
      <w:proofErr w:type="gramStart"/>
      <w:r w:rsidR="009C572E" w:rsidRPr="0036456E">
        <w:rPr>
          <w:rFonts w:ascii="Arial" w:hAnsi="Arial" w:cs="Arial"/>
          <w:bCs/>
          <w:sz w:val="24"/>
          <w:szCs w:val="24"/>
        </w:rPr>
        <w:t>uwzględnienie  wymogów</w:t>
      </w:r>
      <w:proofErr w:type="gramEnd"/>
      <w:r w:rsidR="009C572E" w:rsidRPr="0036456E">
        <w:rPr>
          <w:rFonts w:ascii="Arial" w:hAnsi="Arial" w:cs="Arial"/>
          <w:bCs/>
          <w:sz w:val="24"/>
          <w:szCs w:val="24"/>
        </w:rPr>
        <w:t xml:space="preserve"> ochrony środowiska i efektywnego gospodarowania zasobami.</w:t>
      </w:r>
    </w:p>
    <w:p w14:paraId="318D3E82" w14:textId="77777777" w:rsidR="002C1194" w:rsidRDefault="009C572E" w:rsidP="00596DB6">
      <w:pPr>
        <w:spacing w:before="120" w:after="120" w:line="240" w:lineRule="auto"/>
        <w:rPr>
          <w:rFonts w:ascii="Arial" w:hAnsi="Arial" w:cs="Arial"/>
          <w:bCs/>
          <w:sz w:val="24"/>
          <w:szCs w:val="24"/>
        </w:rPr>
      </w:pPr>
      <w:r w:rsidRPr="00F96176">
        <w:rPr>
          <w:rFonts w:ascii="Arial" w:hAnsi="Arial" w:cs="Arial"/>
          <w:bCs/>
          <w:sz w:val="24"/>
          <w:szCs w:val="24"/>
        </w:rPr>
        <w:t>Zgodnie z ww. zasadą wsparcie może być udzielone jedynie takim projektom, które nie prowadzą do degradacji lub znacznego pogorszenia stanu środowiska naturalnego</w:t>
      </w:r>
      <w:r w:rsidR="00596DB6" w:rsidRPr="00F96176">
        <w:rPr>
          <w:rFonts w:ascii="Arial" w:hAnsi="Arial" w:cs="Arial"/>
          <w:bCs/>
          <w:sz w:val="24"/>
          <w:szCs w:val="24"/>
        </w:rPr>
        <w:t xml:space="preserve"> oraz wykazują istotny wkład w łagodzenie zmian klimatu i adaptację do zmian klimatu</w:t>
      </w:r>
      <w:r w:rsidR="002C1194">
        <w:rPr>
          <w:rFonts w:ascii="Arial" w:hAnsi="Arial" w:cs="Arial"/>
          <w:bCs/>
          <w:sz w:val="24"/>
          <w:szCs w:val="24"/>
        </w:rPr>
        <w:t xml:space="preserve">. </w:t>
      </w:r>
    </w:p>
    <w:p w14:paraId="5456327F" w14:textId="1A32FDA1" w:rsidR="009C572E" w:rsidRPr="0036456E" w:rsidRDefault="002C1194" w:rsidP="00F96176">
      <w:pPr>
        <w:spacing w:beforeLines="60" w:before="144" w:afterLines="60" w:after="144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Należy wykazać</w:t>
      </w:r>
      <w:r w:rsidR="00596DB6" w:rsidRPr="00F96176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iż projekt jest zgodny </w:t>
      </w:r>
      <w:r w:rsidR="00596DB6" w:rsidRPr="00F96176">
        <w:rPr>
          <w:rFonts w:ascii="Arial" w:hAnsi="Arial" w:cs="Arial"/>
          <w:bCs/>
          <w:sz w:val="24"/>
          <w:szCs w:val="24"/>
        </w:rPr>
        <w:t xml:space="preserve">z </w:t>
      </w:r>
      <w:r w:rsidR="00596DB6" w:rsidRPr="00F96176">
        <w:rPr>
          <w:rFonts w:ascii="Arial" w:hAnsi="Arial" w:cs="Arial"/>
          <w:sz w:val="24"/>
          <w:szCs w:val="24"/>
        </w:rPr>
        <w:t>Rozporządzenie</w:t>
      </w:r>
      <w:r w:rsidR="00011489">
        <w:rPr>
          <w:rFonts w:ascii="Arial" w:hAnsi="Arial" w:cs="Arial"/>
          <w:sz w:val="24"/>
          <w:szCs w:val="24"/>
        </w:rPr>
        <w:t>m</w:t>
      </w:r>
      <w:r w:rsidR="00596DB6" w:rsidRPr="00F96176">
        <w:rPr>
          <w:rFonts w:ascii="Arial" w:hAnsi="Arial" w:cs="Arial"/>
          <w:sz w:val="24"/>
          <w:szCs w:val="24"/>
        </w:rPr>
        <w:t xml:space="preserve"> Parlamentu Europejskiego i Rady (UE) 2020/852 z dnia 18 czerwca 2020 r. w sprawie ustanowienia ram ułatwiających zrównoważone inwestycje, zmieniające rozporządzenie (UE) 2019/2088</w:t>
      </w:r>
      <w:r w:rsidR="00596DB6">
        <w:rPr>
          <w:rFonts w:ascii="Arial" w:hAnsi="Arial" w:cs="Arial"/>
          <w:sz w:val="24"/>
          <w:szCs w:val="24"/>
        </w:rPr>
        <w:t>.</w:t>
      </w:r>
      <w:r w:rsidR="00596DB6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4761BC" w:rsidRPr="0036456E" w14:paraId="32CB3FE8" w14:textId="77777777" w:rsidTr="00C15483">
        <w:tc>
          <w:tcPr>
            <w:tcW w:w="9068" w:type="dxa"/>
          </w:tcPr>
          <w:p w14:paraId="3E1D6870" w14:textId="77777777" w:rsidR="004761BC" w:rsidRPr="0036456E" w:rsidRDefault="004761BC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r w:rsidRPr="003645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6F733BD5" w14:textId="77777777" w:rsidR="004761BC" w:rsidRPr="0036456E" w:rsidRDefault="004761BC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B2BB77" w14:textId="69C6282C" w:rsidR="009D687F" w:rsidRPr="0036456E" w:rsidRDefault="004761BC" w:rsidP="00736F05">
      <w:pPr>
        <w:spacing w:beforeLines="60" w:before="144" w:afterLines="60" w:after="144" w:line="240" w:lineRule="auto"/>
        <w:rPr>
          <w:rFonts w:ascii="Arial" w:hAnsi="Arial" w:cs="Arial"/>
          <w:i/>
          <w:iCs/>
          <w:sz w:val="24"/>
          <w:szCs w:val="24"/>
        </w:rPr>
      </w:pPr>
      <w:r w:rsidRPr="0036456E">
        <w:rPr>
          <w:rFonts w:ascii="Arial" w:hAnsi="Arial" w:cs="Arial"/>
          <w:b/>
          <w:sz w:val="24"/>
          <w:szCs w:val="24"/>
        </w:rPr>
        <w:t>Zgodność projektu z zasadą DNSH</w:t>
      </w:r>
      <w:r w:rsidRPr="0036456E">
        <w:rPr>
          <w:rFonts w:ascii="Arial" w:hAnsi="Arial" w:cs="Arial"/>
          <w:sz w:val="24"/>
          <w:szCs w:val="24"/>
        </w:rPr>
        <w:t xml:space="preserve"> należy przedstawić w </w:t>
      </w:r>
      <w:r w:rsidR="00C15483" w:rsidRPr="0036456E">
        <w:rPr>
          <w:rFonts w:ascii="Arial" w:hAnsi="Arial" w:cs="Arial"/>
          <w:sz w:val="24"/>
          <w:szCs w:val="24"/>
        </w:rPr>
        <w:t>Załączniku</w:t>
      </w:r>
      <w:r w:rsidRPr="0036456E">
        <w:rPr>
          <w:rFonts w:ascii="Arial" w:hAnsi="Arial" w:cs="Arial"/>
          <w:sz w:val="24"/>
          <w:szCs w:val="24"/>
        </w:rPr>
        <w:t xml:space="preserve"> </w:t>
      </w:r>
      <w:r w:rsidRPr="0036456E">
        <w:rPr>
          <w:rFonts w:ascii="Arial" w:hAnsi="Arial" w:cs="Arial"/>
          <w:i/>
          <w:iCs/>
          <w:sz w:val="24"/>
          <w:szCs w:val="24"/>
        </w:rPr>
        <w:t>Formularz w zakresie oceny oddziaływania na środowisko z uwzględnieniem zasady „nie czyń znaczącej szkody” (zasada DNSH)”</w:t>
      </w:r>
    </w:p>
    <w:p w14:paraId="1103DD88" w14:textId="6E3CAA4C" w:rsidR="006B1577" w:rsidRPr="0036456E" w:rsidRDefault="00C73077" w:rsidP="00EE6A6C">
      <w:pPr>
        <w:spacing w:beforeLines="60" w:before="144" w:afterLines="60" w:after="144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Weryfikując projekt pod kątem zgodności z zasadą DNSH należy odnieść się do dokumentu </w:t>
      </w:r>
      <w:r w:rsidR="00EE6A6C">
        <w:rPr>
          <w:rFonts w:ascii="Arial" w:hAnsi="Arial" w:cs="Arial"/>
          <w:sz w:val="24"/>
          <w:szCs w:val="24"/>
        </w:rPr>
        <w:t>„</w:t>
      </w:r>
      <w:r w:rsidR="00EE6A6C" w:rsidRPr="00EE6A6C">
        <w:rPr>
          <w:rFonts w:ascii="Arial" w:hAnsi="Arial" w:cs="Arial"/>
          <w:sz w:val="24"/>
          <w:szCs w:val="24"/>
        </w:rPr>
        <w:t xml:space="preserve">Ocena „nie czyń poważnych szkód” - Do No </w:t>
      </w:r>
      <w:proofErr w:type="spellStart"/>
      <w:r w:rsidR="00EE6A6C" w:rsidRPr="00EE6A6C">
        <w:rPr>
          <w:rFonts w:ascii="Arial" w:hAnsi="Arial" w:cs="Arial"/>
          <w:sz w:val="24"/>
          <w:szCs w:val="24"/>
        </w:rPr>
        <w:t>Significant</w:t>
      </w:r>
      <w:proofErr w:type="spellEnd"/>
      <w:r w:rsidR="00EE6A6C" w:rsidRPr="00EE6A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A6C" w:rsidRPr="00EE6A6C">
        <w:rPr>
          <w:rFonts w:ascii="Arial" w:hAnsi="Arial" w:cs="Arial"/>
          <w:sz w:val="24"/>
          <w:szCs w:val="24"/>
        </w:rPr>
        <w:t>Harm</w:t>
      </w:r>
      <w:proofErr w:type="spellEnd"/>
      <w:r w:rsidR="00EE6A6C" w:rsidRPr="00EE6A6C">
        <w:rPr>
          <w:rFonts w:ascii="Arial" w:hAnsi="Arial" w:cs="Arial"/>
          <w:sz w:val="24"/>
          <w:szCs w:val="24"/>
        </w:rPr>
        <w:t xml:space="preserve"> -</w:t>
      </w:r>
      <w:r w:rsidR="00EE6A6C">
        <w:rPr>
          <w:rFonts w:ascii="Arial" w:hAnsi="Arial" w:cs="Arial"/>
          <w:sz w:val="24"/>
          <w:szCs w:val="24"/>
        </w:rPr>
        <w:t xml:space="preserve"> </w:t>
      </w:r>
      <w:r w:rsidR="00EE6A6C" w:rsidRPr="00EE6A6C">
        <w:rPr>
          <w:rFonts w:ascii="Arial" w:hAnsi="Arial" w:cs="Arial"/>
          <w:sz w:val="24"/>
          <w:szCs w:val="24"/>
        </w:rPr>
        <w:t>(DNSH) dla typów projektów ujętych w programie</w:t>
      </w:r>
      <w:r w:rsidR="00EE6A6C">
        <w:rPr>
          <w:rFonts w:ascii="Arial" w:hAnsi="Arial" w:cs="Arial"/>
          <w:sz w:val="24"/>
          <w:szCs w:val="24"/>
        </w:rPr>
        <w:t xml:space="preserve"> </w:t>
      </w:r>
      <w:r w:rsidR="00EE6A6C" w:rsidRPr="00EE6A6C">
        <w:rPr>
          <w:rFonts w:ascii="Arial" w:hAnsi="Arial" w:cs="Arial"/>
          <w:sz w:val="24"/>
          <w:szCs w:val="24"/>
        </w:rPr>
        <w:t>Fundusze Europejskie dla Podlaskiego 2021-2027</w:t>
      </w:r>
      <w:r w:rsidR="00EE6A6C">
        <w:rPr>
          <w:rFonts w:ascii="Arial" w:hAnsi="Arial" w:cs="Arial"/>
          <w:sz w:val="24"/>
          <w:szCs w:val="24"/>
        </w:rPr>
        <w:t xml:space="preserve">”, dostępnego pod linkiem: </w:t>
      </w:r>
      <w:hyperlink r:id="rId8" w:history="1">
        <w:r w:rsidR="00EE6A6C" w:rsidRPr="00EE6A6C">
          <w:rPr>
            <w:rStyle w:val="Hipercze"/>
            <w:rFonts w:ascii="Arial" w:hAnsi="Arial" w:cs="Arial"/>
            <w:sz w:val="24"/>
            <w:szCs w:val="24"/>
          </w:rPr>
          <w:t>https://funduszeuepodlaskie.pl/dokumenty/ocena-nie-czyn-powaznych-szkod-do-no-significant-harm-dnsh-dla-typow-projektow-ujetych-w-programie-fundusze-europejskie-dla-podlaskiego-2021-2027/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5A20EBC" w14:textId="0D56C190" w:rsidR="009D687F" w:rsidRPr="0036456E" w:rsidRDefault="001B773C" w:rsidP="00736F05">
      <w:pPr>
        <w:pStyle w:val="Akapitzlist"/>
        <w:numPr>
          <w:ilvl w:val="0"/>
          <w:numId w:val="15"/>
        </w:numPr>
        <w:spacing w:beforeLines="60" w:before="144" w:afterLines="60" w:after="144" w:line="240" w:lineRule="auto"/>
        <w:contextualSpacing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36456E">
        <w:rPr>
          <w:rFonts w:ascii="Arial" w:eastAsiaTheme="majorEastAsia" w:hAnsi="Arial" w:cs="Arial"/>
          <w:b/>
          <w:bCs/>
          <w:sz w:val="24"/>
          <w:szCs w:val="24"/>
        </w:rPr>
        <w:t xml:space="preserve">Analiza </w:t>
      </w:r>
      <w:r w:rsidR="004761BC" w:rsidRPr="0036456E">
        <w:rPr>
          <w:rFonts w:ascii="Arial" w:eastAsiaTheme="majorEastAsia" w:hAnsi="Arial" w:cs="Arial"/>
          <w:b/>
          <w:bCs/>
          <w:sz w:val="24"/>
          <w:szCs w:val="24"/>
        </w:rPr>
        <w:t>pomocy publicznej</w:t>
      </w:r>
    </w:p>
    <w:p w14:paraId="489C07C9" w14:textId="3297B4F8" w:rsidR="00434856" w:rsidRPr="0036456E" w:rsidRDefault="00434856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Należy dokonać analizy inwestycji pod kątem zgodności z art. 107 ust. 1 Traktatu o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 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funkcjonowaniu Unii Europejskiej. </w:t>
      </w:r>
      <w:r w:rsidR="001B773C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W polu opisowym należy przedstawić szczegółowe uzasadnienie </w:t>
      </w:r>
      <w:r w:rsidR="00C976AC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dla każdej z przesłanek wystąpienia pomocy publicznej. Analiza powinna być szczegółowa i przeprowadzona w oparciu o zapisy Komunikatu Komisji – Zawiadomienie Komisji w sprawie pojęcia pomocy państwa w rozumieniu art. 107 ust.1 TFUE.</w:t>
      </w:r>
    </w:p>
    <w:p w14:paraId="4640CC5D" w14:textId="00092823" w:rsidR="00434856" w:rsidRPr="0036456E" w:rsidRDefault="000B1C2D" w:rsidP="00736F0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lastRenderedPageBreak/>
        <w:t>czy w projekcie występuje transfer zasobów publicznych?</w:t>
      </w:r>
    </w:p>
    <w:p w14:paraId="4D649D47" w14:textId="3138DAC9" w:rsidR="000B1C2D" w:rsidRPr="0036456E" w:rsidRDefault="00144137" w:rsidP="00736F05">
      <w:pPr>
        <w:spacing w:beforeLines="60" w:before="144" w:afterLines="60" w:after="144" w:line="240" w:lineRule="auto"/>
        <w:ind w:left="360" w:firstLine="348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bookmarkStart w:id="33" w:name="_Hlk180490602"/>
      <w:r w:rsidRPr="00E20209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☒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TAK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NIE</w:t>
      </w:r>
    </w:p>
    <w:bookmarkEnd w:id="33"/>
    <w:p w14:paraId="3EECDC8F" w14:textId="30C31950" w:rsidR="00434856" w:rsidRPr="0036456E" w:rsidRDefault="00C15483" w:rsidP="00736F0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c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zy pomoc </w:t>
      </w:r>
      <w:r w:rsidR="00434856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udzielan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a</w:t>
      </w:r>
      <w:r w:rsidR="00434856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jest na warunkach korzystniejszych niż oferowane na rynku</w:t>
      </w:r>
      <w:r w:rsidR="002D7E22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?</w:t>
      </w:r>
    </w:p>
    <w:p w14:paraId="0727FC3D" w14:textId="3C4E0692" w:rsidR="000B1C2D" w:rsidRPr="0036456E" w:rsidRDefault="00144137" w:rsidP="00736F05">
      <w:pPr>
        <w:spacing w:beforeLines="60" w:before="144" w:afterLines="60" w:after="144" w:line="240" w:lineRule="auto"/>
        <w:ind w:left="708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0209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☒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TAK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NIE</w:t>
      </w:r>
    </w:p>
    <w:p w14:paraId="1FD62C73" w14:textId="0DBE80DB" w:rsidR="00434856" w:rsidRPr="0036456E" w:rsidRDefault="000B1C2D" w:rsidP="00736F0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czy przyznanie pomoc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y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434856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ma charakter selektywny (uprzywilejowuje określone przedsiębiorstwo lub przedsiębiorstwa albo produkcję określonych towarów)</w:t>
      </w:r>
      <w:r w:rsidR="002D7E22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?</w:t>
      </w:r>
    </w:p>
    <w:p w14:paraId="5A2E4EB2" w14:textId="185EF000" w:rsidR="000B1C2D" w:rsidRPr="0036456E" w:rsidRDefault="00144137" w:rsidP="00736F05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E20209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☒</w:t>
      </w:r>
      <w:r w:rsidR="000B1C2D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TAK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="00C15483"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NIE</w:t>
      </w:r>
    </w:p>
    <w:p w14:paraId="7C262391" w14:textId="50A532AB" w:rsidR="00434856" w:rsidRPr="0036456E" w:rsidRDefault="000B1C2D" w:rsidP="00736F05">
      <w:pPr>
        <w:pStyle w:val="Akapitzlist"/>
        <w:numPr>
          <w:ilvl w:val="0"/>
          <w:numId w:val="27"/>
        </w:num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czy przyznanie pomocy </w:t>
      </w:r>
      <w:r w:rsidR="00434856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grozi zakłóceniem lub zakłóca konkurencję oraz wpływa na wymianę handlową między Państwami Członkowskimi UE</w:t>
      </w:r>
      <w:r w:rsidR="00C15483"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?</w:t>
      </w:r>
    </w:p>
    <w:p w14:paraId="42EE63C1" w14:textId="418870AF" w:rsidR="00C15483" w:rsidRPr="0036456E" w:rsidRDefault="00C15483" w:rsidP="00736F05">
      <w:pPr>
        <w:spacing w:beforeLines="60" w:before="144" w:afterLines="60" w:after="144" w:line="240" w:lineRule="auto"/>
        <w:ind w:firstLine="708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TAK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ab/>
      </w:r>
      <w:r w:rsidRPr="0036456E">
        <w:rPr>
          <w:rFonts w:ascii="Segoe UI Symbol" w:eastAsia="Calibri" w:hAnsi="Segoe UI Symbol" w:cs="Segoe UI Symbol"/>
          <w:color w:val="000000"/>
          <w:sz w:val="24"/>
          <w:szCs w:val="24"/>
          <w:lang w:eastAsia="en-US"/>
        </w:rPr>
        <w:t>☐</w:t>
      </w: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NIE</w:t>
      </w:r>
    </w:p>
    <w:p w14:paraId="1889ECD7" w14:textId="77777777" w:rsidR="00266CD1" w:rsidRPr="0036456E" w:rsidRDefault="00266CD1" w:rsidP="00266CD1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6456E">
        <w:rPr>
          <w:rFonts w:ascii="Arial" w:eastAsia="Calibri" w:hAnsi="Arial" w:cs="Arial"/>
          <w:color w:val="000000"/>
          <w:sz w:val="24"/>
          <w:szCs w:val="24"/>
          <w:lang w:eastAsia="en-US"/>
        </w:rPr>
        <w:t>Jeśli pomoc publiczna wystąpi – należy podać podstawę pomocy oraz wykazać spełnienie przez Wnioskodawcę i projekt wszystkich wymogów wynikających z krajowych i unijnych rozporządzeń pomocowych.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8"/>
      </w:tblGrid>
      <w:tr w:rsidR="000B1C2D" w:rsidRPr="0036456E" w14:paraId="586F6129" w14:textId="77777777" w:rsidTr="00C15483">
        <w:tc>
          <w:tcPr>
            <w:tcW w:w="9068" w:type="dxa"/>
          </w:tcPr>
          <w:p w14:paraId="4E58BFC7" w14:textId="2FFD304B" w:rsidR="000B1C2D" w:rsidRPr="0036456E" w:rsidRDefault="000B1C2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  <w:bookmarkStart w:id="34" w:name="_Hlk180497113"/>
            <w:r w:rsidRPr="0036456E">
              <w:rPr>
                <w:rFonts w:ascii="Arial" w:hAnsi="Arial" w:cs="Arial"/>
                <w:sz w:val="24"/>
                <w:szCs w:val="24"/>
              </w:rPr>
              <w:t>Uzasadnienie:</w:t>
            </w:r>
          </w:p>
          <w:p w14:paraId="3DC20CBC" w14:textId="77777777" w:rsidR="000B1C2D" w:rsidRPr="0036456E" w:rsidRDefault="000B1C2D" w:rsidP="00736F05">
            <w:pPr>
              <w:pStyle w:val="Bezodstpw"/>
              <w:spacing w:beforeLines="60" w:before="144" w:afterLines="60" w:after="144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34"/>
    </w:tbl>
    <w:p w14:paraId="4B7AC54B" w14:textId="77777777" w:rsidR="000B1C2D" w:rsidRPr="0036456E" w:rsidRDefault="000B1C2D" w:rsidP="00736F05">
      <w:pPr>
        <w:spacing w:beforeLines="60" w:before="144" w:afterLines="60" w:after="144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14:paraId="4A73C8E4" w14:textId="63E0D155" w:rsidR="00253B99" w:rsidRPr="00F96176" w:rsidRDefault="003B11F0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96176">
        <w:rPr>
          <w:rFonts w:ascii="Arial" w:hAnsi="Arial" w:cs="Arial"/>
          <w:b/>
          <w:bCs/>
          <w:color w:val="000000"/>
          <w:sz w:val="24"/>
          <w:szCs w:val="24"/>
        </w:rPr>
        <w:t>data sporządzenia:</w:t>
      </w:r>
    </w:p>
    <w:p w14:paraId="136550F4" w14:textId="77777777" w:rsidR="003B11F0" w:rsidRPr="00F96176" w:rsidRDefault="003B11F0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E9DD92" w14:textId="718D8F30" w:rsidR="003B11F0" w:rsidRPr="003B11F0" w:rsidRDefault="003B11F0" w:rsidP="00736F05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color w:val="000000"/>
        </w:rPr>
      </w:pPr>
      <w:r w:rsidRPr="00F96176">
        <w:rPr>
          <w:rFonts w:ascii="Arial" w:hAnsi="Arial" w:cs="Arial"/>
          <w:b/>
          <w:bCs/>
          <w:color w:val="000000"/>
          <w:sz w:val="24"/>
          <w:szCs w:val="24"/>
        </w:rPr>
        <w:t>podpis Wn</w:t>
      </w:r>
      <w:r>
        <w:rPr>
          <w:rFonts w:ascii="Arial" w:hAnsi="Arial" w:cs="Arial"/>
          <w:b/>
          <w:bCs/>
          <w:color w:val="000000"/>
        </w:rPr>
        <w:t>ioskodawcy</w:t>
      </w:r>
      <w:r w:rsidR="008655EF">
        <w:rPr>
          <w:rFonts w:ascii="Arial" w:hAnsi="Arial" w:cs="Arial"/>
          <w:b/>
          <w:bCs/>
          <w:color w:val="000000"/>
        </w:rPr>
        <w:t>:</w:t>
      </w:r>
    </w:p>
    <w:sectPr w:rsidR="003B11F0" w:rsidRPr="003B11F0" w:rsidSect="002D7E22">
      <w:footerReference w:type="default" r:id="rId9"/>
      <w:headerReference w:type="first" r:id="rId10"/>
      <w:footerReference w:type="first" r:id="rId11"/>
      <w:pgSz w:w="11907" w:h="16839" w:code="9"/>
      <w:pgMar w:top="851" w:right="1417" w:bottom="1276" w:left="1417" w:header="568" w:footer="61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40F6" w14:textId="77777777" w:rsidR="00CC238A" w:rsidRDefault="00CC238A">
      <w:pPr>
        <w:spacing w:after="0" w:line="240" w:lineRule="auto"/>
      </w:pPr>
      <w:r>
        <w:separator/>
      </w:r>
    </w:p>
  </w:endnote>
  <w:endnote w:type="continuationSeparator" w:id="0">
    <w:p w14:paraId="29ADB7CF" w14:textId="77777777" w:rsidR="00CC238A" w:rsidRDefault="00CC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30508242"/>
      <w:docPartObj>
        <w:docPartGallery w:val="Page Numbers (Top of Page)"/>
        <w:docPartUnique/>
      </w:docPartObj>
    </w:sdtPr>
    <w:sdtEndPr/>
    <w:sdtContent>
      <w:p w14:paraId="16CDFDAA" w14:textId="7143315B" w:rsidR="00577E4C" w:rsidRPr="00333973" w:rsidRDefault="0064708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33973">
          <w:rPr>
            <w:rFonts w:ascii="Arial" w:hAnsi="Arial" w:cs="Arial"/>
            <w:sz w:val="20"/>
            <w:szCs w:val="20"/>
          </w:rPr>
          <w:t xml:space="preserve">Strona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PAGE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12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333973">
          <w:rPr>
            <w:rFonts w:ascii="Arial" w:hAnsi="Arial" w:cs="Arial"/>
            <w:sz w:val="20"/>
            <w:szCs w:val="20"/>
          </w:rPr>
          <w:t xml:space="preserve"> z 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333973">
          <w:rPr>
            <w:rFonts w:ascii="Arial" w:hAnsi="Arial" w:cs="Arial"/>
            <w:b/>
            <w:bCs/>
            <w:sz w:val="20"/>
            <w:szCs w:val="20"/>
          </w:rPr>
          <w:instrText>NUMPAGES</w:instrTex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0A1E50" w:rsidRPr="00333973">
          <w:rPr>
            <w:rFonts w:ascii="Arial" w:hAnsi="Arial" w:cs="Arial"/>
            <w:b/>
            <w:bCs/>
            <w:noProof/>
            <w:sz w:val="20"/>
            <w:szCs w:val="20"/>
          </w:rPr>
          <w:t>13</w:t>
        </w:r>
        <w:r w:rsidR="00614EE8" w:rsidRPr="00333973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7892C42" w14:textId="77777777" w:rsidR="00577E4C" w:rsidRDefault="00577E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F02C" w14:textId="3F54C0ED" w:rsidR="00577E4C" w:rsidRDefault="00577E4C" w:rsidP="0033397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2311" w14:textId="77777777" w:rsidR="00CC238A" w:rsidRDefault="00CC238A">
      <w:r>
        <w:separator/>
      </w:r>
    </w:p>
  </w:footnote>
  <w:footnote w:type="continuationSeparator" w:id="0">
    <w:p w14:paraId="7A8B100E" w14:textId="77777777" w:rsidR="00CC238A" w:rsidRDefault="00CC2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E9D6" w14:textId="314721D9" w:rsidR="00577E4C" w:rsidRDefault="00A864BF" w:rsidP="00B9642A">
    <w:pPr>
      <w:pStyle w:val="Nagwek"/>
      <w:jc w:val="center"/>
    </w:pPr>
    <w:r w:rsidRPr="00FD75EC">
      <w:rPr>
        <w:rFonts w:ascii="Arial" w:hAnsi="Arial" w:cs="Arial"/>
        <w:noProof/>
        <w:sz w:val="24"/>
        <w:szCs w:val="24"/>
      </w:rPr>
      <w:drawing>
        <wp:inline distT="0" distB="0" distL="0" distR="0" wp14:anchorId="7E5DB1A2" wp14:editId="6B74824B">
          <wp:extent cx="5760720" cy="779780"/>
          <wp:effectExtent l="0" t="0" r="0" b="1270"/>
          <wp:docPr id="11728819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353"/>
    <w:multiLevelType w:val="multilevel"/>
    <w:tmpl w:val="8BDA9A4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73A38"/>
    <w:multiLevelType w:val="hybridMultilevel"/>
    <w:tmpl w:val="86FE1EEA"/>
    <w:lvl w:ilvl="0" w:tplc="49BE4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738C5"/>
    <w:multiLevelType w:val="hybridMultilevel"/>
    <w:tmpl w:val="5D98F2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293F"/>
    <w:multiLevelType w:val="hybridMultilevel"/>
    <w:tmpl w:val="28FEF6C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2C0E"/>
    <w:multiLevelType w:val="hybridMultilevel"/>
    <w:tmpl w:val="0C4C03A8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D7D"/>
    <w:multiLevelType w:val="hybridMultilevel"/>
    <w:tmpl w:val="E24C030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2EE4"/>
    <w:multiLevelType w:val="hybridMultilevel"/>
    <w:tmpl w:val="DEDAC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F2E46"/>
    <w:multiLevelType w:val="multilevel"/>
    <w:tmpl w:val="002CD40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3947B4"/>
    <w:multiLevelType w:val="hybridMultilevel"/>
    <w:tmpl w:val="E864D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11B2A"/>
    <w:multiLevelType w:val="hybridMultilevel"/>
    <w:tmpl w:val="9A24F1B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3656E"/>
    <w:multiLevelType w:val="hybridMultilevel"/>
    <w:tmpl w:val="804A1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BBF"/>
    <w:multiLevelType w:val="hybridMultilevel"/>
    <w:tmpl w:val="A2D41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91D0D"/>
    <w:multiLevelType w:val="hybridMultilevel"/>
    <w:tmpl w:val="D3B68AF2"/>
    <w:lvl w:ilvl="0" w:tplc="674C6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C4526A"/>
    <w:multiLevelType w:val="multilevel"/>
    <w:tmpl w:val="FCFCFE1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D71A1F"/>
    <w:multiLevelType w:val="multilevel"/>
    <w:tmpl w:val="9B2C980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2612C8"/>
    <w:multiLevelType w:val="multilevel"/>
    <w:tmpl w:val="23F60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E68026C"/>
    <w:multiLevelType w:val="hybridMultilevel"/>
    <w:tmpl w:val="E9B4230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F324C"/>
    <w:multiLevelType w:val="hybridMultilevel"/>
    <w:tmpl w:val="A0CA056E"/>
    <w:lvl w:ilvl="0" w:tplc="602266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D6471"/>
    <w:multiLevelType w:val="hybridMultilevel"/>
    <w:tmpl w:val="1864F314"/>
    <w:lvl w:ilvl="0" w:tplc="04150017">
      <w:start w:val="1"/>
      <w:numFmt w:val="lowerLetter"/>
      <w:lvlText w:val="%1)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9" w15:restartNumberingAfterBreak="0">
    <w:nsid w:val="33D81AC8"/>
    <w:multiLevelType w:val="hybridMultilevel"/>
    <w:tmpl w:val="8E1646A2"/>
    <w:lvl w:ilvl="0" w:tplc="A79CB9E0">
      <w:start w:val="1"/>
      <w:numFmt w:val="bullet"/>
      <w:lvlText w:val=""/>
      <w:lvlJc w:val="left"/>
      <w:pPr>
        <w:ind w:left="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0" w15:restartNumberingAfterBreak="0">
    <w:nsid w:val="3818412B"/>
    <w:multiLevelType w:val="multilevel"/>
    <w:tmpl w:val="8A98645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1" w15:restartNumberingAfterBreak="0">
    <w:nsid w:val="381D6BE6"/>
    <w:multiLevelType w:val="hybridMultilevel"/>
    <w:tmpl w:val="E864D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47863"/>
    <w:multiLevelType w:val="hybridMultilevel"/>
    <w:tmpl w:val="3A0A08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37177"/>
    <w:multiLevelType w:val="hybridMultilevel"/>
    <w:tmpl w:val="7780EC92"/>
    <w:lvl w:ilvl="0" w:tplc="602266CA">
      <w:start w:val="1"/>
      <w:numFmt w:val="bullet"/>
      <w:lvlText w:val="-"/>
      <w:lvlJc w:val="left"/>
      <w:pPr>
        <w:ind w:left="10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4" w15:restartNumberingAfterBreak="0">
    <w:nsid w:val="3BFC7055"/>
    <w:multiLevelType w:val="multilevel"/>
    <w:tmpl w:val="966079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C07A3F"/>
    <w:multiLevelType w:val="multilevel"/>
    <w:tmpl w:val="1C5410A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1B208DD"/>
    <w:multiLevelType w:val="hybridMultilevel"/>
    <w:tmpl w:val="E864D716"/>
    <w:lvl w:ilvl="0" w:tplc="09FED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D7886"/>
    <w:multiLevelType w:val="hybridMultilevel"/>
    <w:tmpl w:val="E24E88AE"/>
    <w:lvl w:ilvl="0" w:tplc="A79CB9E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2864008"/>
    <w:multiLevelType w:val="hybridMultilevel"/>
    <w:tmpl w:val="E864D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721BF"/>
    <w:multiLevelType w:val="hybridMultilevel"/>
    <w:tmpl w:val="9130893E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30" w15:restartNumberingAfterBreak="0">
    <w:nsid w:val="4A4926B7"/>
    <w:multiLevelType w:val="hybridMultilevel"/>
    <w:tmpl w:val="A3E4D13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E634D"/>
    <w:multiLevelType w:val="hybridMultilevel"/>
    <w:tmpl w:val="B33A62DA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F5CAF"/>
    <w:multiLevelType w:val="multilevel"/>
    <w:tmpl w:val="BC5A7E3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0A4716C"/>
    <w:multiLevelType w:val="hybridMultilevel"/>
    <w:tmpl w:val="333272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713A4"/>
    <w:multiLevelType w:val="hybridMultilevel"/>
    <w:tmpl w:val="396EA8F8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668E9"/>
    <w:multiLevelType w:val="hybridMultilevel"/>
    <w:tmpl w:val="706A20B0"/>
    <w:lvl w:ilvl="0" w:tplc="A0F2F9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D25DE"/>
    <w:multiLevelType w:val="hybridMultilevel"/>
    <w:tmpl w:val="D206D56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7427D9"/>
    <w:multiLevelType w:val="multilevel"/>
    <w:tmpl w:val="B202974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38" w15:restartNumberingAfterBreak="0">
    <w:nsid w:val="5CF44A21"/>
    <w:multiLevelType w:val="multilevel"/>
    <w:tmpl w:val="3F78444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39" w15:restartNumberingAfterBreak="0">
    <w:nsid w:val="5D6D5ACA"/>
    <w:multiLevelType w:val="hybridMultilevel"/>
    <w:tmpl w:val="5EC8B204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1036C6"/>
    <w:multiLevelType w:val="hybridMultilevel"/>
    <w:tmpl w:val="EADC8478"/>
    <w:lvl w:ilvl="0" w:tplc="04150017">
      <w:start w:val="1"/>
      <w:numFmt w:val="lowerLetter"/>
      <w:lvlText w:val="%1)"/>
      <w:lvlJc w:val="left"/>
      <w:pPr>
        <w:ind w:left="902" w:hanging="360"/>
      </w:p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41" w15:restartNumberingAfterBreak="0">
    <w:nsid w:val="616D66BA"/>
    <w:multiLevelType w:val="hybridMultilevel"/>
    <w:tmpl w:val="95F69E9E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294F3D"/>
    <w:multiLevelType w:val="hybridMultilevel"/>
    <w:tmpl w:val="5F20E72A"/>
    <w:lvl w:ilvl="0" w:tplc="F9969A3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F6A32"/>
    <w:multiLevelType w:val="multilevel"/>
    <w:tmpl w:val="773CDF3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44" w15:restartNumberingAfterBreak="0">
    <w:nsid w:val="69BF1C7C"/>
    <w:multiLevelType w:val="multilevel"/>
    <w:tmpl w:val="02F0138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89461F"/>
    <w:multiLevelType w:val="hybridMultilevel"/>
    <w:tmpl w:val="E864D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CB2DE4"/>
    <w:multiLevelType w:val="hybridMultilevel"/>
    <w:tmpl w:val="780CC0D8"/>
    <w:lvl w:ilvl="0" w:tplc="285C9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796100"/>
    <w:multiLevelType w:val="multilevel"/>
    <w:tmpl w:val="F05451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6D801882"/>
    <w:multiLevelType w:val="hybridMultilevel"/>
    <w:tmpl w:val="D2827622"/>
    <w:lvl w:ilvl="0" w:tplc="7A86D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1618F1"/>
    <w:multiLevelType w:val="multilevel"/>
    <w:tmpl w:val="11984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4B93B32"/>
    <w:multiLevelType w:val="multilevel"/>
    <w:tmpl w:val="CCFC70A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51F0A01"/>
    <w:multiLevelType w:val="hybridMultilevel"/>
    <w:tmpl w:val="CB10B33C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2C0E8D"/>
    <w:multiLevelType w:val="multilevel"/>
    <w:tmpl w:val="B6EE722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B3B5F0E"/>
    <w:multiLevelType w:val="hybridMultilevel"/>
    <w:tmpl w:val="04904116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E538A3"/>
    <w:multiLevelType w:val="hybridMultilevel"/>
    <w:tmpl w:val="917A6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9B722D"/>
    <w:multiLevelType w:val="hybridMultilevel"/>
    <w:tmpl w:val="0CE2AB30"/>
    <w:lvl w:ilvl="0" w:tplc="A79C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AA22D5"/>
    <w:multiLevelType w:val="hybridMultilevel"/>
    <w:tmpl w:val="FA5AD4D6"/>
    <w:lvl w:ilvl="0" w:tplc="A79CB9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EBE12C6"/>
    <w:multiLevelType w:val="hybridMultilevel"/>
    <w:tmpl w:val="AFF60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948331">
    <w:abstractNumId w:val="16"/>
  </w:num>
  <w:num w:numId="2" w16cid:durableId="1355351360">
    <w:abstractNumId w:val="11"/>
  </w:num>
  <w:num w:numId="3" w16cid:durableId="1093478712">
    <w:abstractNumId w:val="15"/>
  </w:num>
  <w:num w:numId="4" w16cid:durableId="536552809">
    <w:abstractNumId w:val="51"/>
  </w:num>
  <w:num w:numId="5" w16cid:durableId="1533568300">
    <w:abstractNumId w:val="22"/>
  </w:num>
  <w:num w:numId="6" w16cid:durableId="224993735">
    <w:abstractNumId w:val="27"/>
  </w:num>
  <w:num w:numId="7" w16cid:durableId="1489323363">
    <w:abstractNumId w:val="17"/>
  </w:num>
  <w:num w:numId="8" w16cid:durableId="1359816038">
    <w:abstractNumId w:val="48"/>
  </w:num>
  <w:num w:numId="9" w16cid:durableId="325714345">
    <w:abstractNumId w:val="36"/>
  </w:num>
  <w:num w:numId="10" w16cid:durableId="1385060101">
    <w:abstractNumId w:val="9"/>
  </w:num>
  <w:num w:numId="11" w16cid:durableId="331614833">
    <w:abstractNumId w:val="33"/>
  </w:num>
  <w:num w:numId="12" w16cid:durableId="852110705">
    <w:abstractNumId w:val="56"/>
  </w:num>
  <w:num w:numId="13" w16cid:durableId="102190946">
    <w:abstractNumId w:val="19"/>
  </w:num>
  <w:num w:numId="14" w16cid:durableId="1713387516">
    <w:abstractNumId w:val="1"/>
  </w:num>
  <w:num w:numId="15" w16cid:durableId="1526989285">
    <w:abstractNumId w:val="32"/>
  </w:num>
  <w:num w:numId="16" w16cid:durableId="893156751">
    <w:abstractNumId w:val="47"/>
  </w:num>
  <w:num w:numId="17" w16cid:durableId="1119452323">
    <w:abstractNumId w:val="29"/>
  </w:num>
  <w:num w:numId="18" w16cid:durableId="390420998">
    <w:abstractNumId w:val="40"/>
  </w:num>
  <w:num w:numId="19" w16cid:durableId="702367546">
    <w:abstractNumId w:val="18"/>
  </w:num>
  <w:num w:numId="20" w16cid:durableId="1990209997">
    <w:abstractNumId w:val="23"/>
  </w:num>
  <w:num w:numId="21" w16cid:durableId="2078235258">
    <w:abstractNumId w:val="24"/>
  </w:num>
  <w:num w:numId="22" w16cid:durableId="851188072">
    <w:abstractNumId w:val="50"/>
  </w:num>
  <w:num w:numId="23" w16cid:durableId="1048530500">
    <w:abstractNumId w:val="35"/>
  </w:num>
  <w:num w:numId="24" w16cid:durableId="1030104223">
    <w:abstractNumId w:val="25"/>
  </w:num>
  <w:num w:numId="25" w16cid:durableId="1693922570">
    <w:abstractNumId w:val="43"/>
  </w:num>
  <w:num w:numId="26" w16cid:durableId="1885171282">
    <w:abstractNumId w:val="3"/>
  </w:num>
  <w:num w:numId="27" w16cid:durableId="1816682087">
    <w:abstractNumId w:val="10"/>
  </w:num>
  <w:num w:numId="28" w16cid:durableId="470366496">
    <w:abstractNumId w:val="12"/>
  </w:num>
  <w:num w:numId="29" w16cid:durableId="1376853891">
    <w:abstractNumId w:val="2"/>
  </w:num>
  <w:num w:numId="30" w16cid:durableId="711853932">
    <w:abstractNumId w:val="53"/>
  </w:num>
  <w:num w:numId="31" w16cid:durableId="588271958">
    <w:abstractNumId w:val="5"/>
  </w:num>
  <w:num w:numId="32" w16cid:durableId="1414202504">
    <w:abstractNumId w:val="7"/>
  </w:num>
  <w:num w:numId="33" w16cid:durableId="467364431">
    <w:abstractNumId w:val="52"/>
  </w:num>
  <w:num w:numId="34" w16cid:durableId="1960529540">
    <w:abstractNumId w:val="14"/>
  </w:num>
  <w:num w:numId="35" w16cid:durableId="1161695722">
    <w:abstractNumId w:val="20"/>
  </w:num>
  <w:num w:numId="36" w16cid:durableId="1586038982">
    <w:abstractNumId w:val="13"/>
  </w:num>
  <w:num w:numId="37" w16cid:durableId="161705820">
    <w:abstractNumId w:val="41"/>
  </w:num>
  <w:num w:numId="38" w16cid:durableId="693918754">
    <w:abstractNumId w:val="4"/>
  </w:num>
  <w:num w:numId="39" w16cid:durableId="837303774">
    <w:abstractNumId w:val="30"/>
  </w:num>
  <w:num w:numId="40" w16cid:durableId="1996883257">
    <w:abstractNumId w:val="37"/>
  </w:num>
  <w:num w:numId="41" w16cid:durableId="666714511">
    <w:abstractNumId w:val="26"/>
  </w:num>
  <w:num w:numId="42" w16cid:durableId="404498021">
    <w:abstractNumId w:val="8"/>
  </w:num>
  <w:num w:numId="43" w16cid:durableId="321278557">
    <w:abstractNumId w:val="21"/>
  </w:num>
  <w:num w:numId="44" w16cid:durableId="975067335">
    <w:abstractNumId w:val="28"/>
  </w:num>
  <w:num w:numId="45" w16cid:durableId="1425300323">
    <w:abstractNumId w:val="45"/>
  </w:num>
  <w:num w:numId="46" w16cid:durableId="1721972388">
    <w:abstractNumId w:val="46"/>
  </w:num>
  <w:num w:numId="47" w16cid:durableId="987369264">
    <w:abstractNumId w:val="42"/>
  </w:num>
  <w:num w:numId="48" w16cid:durableId="1861315535">
    <w:abstractNumId w:val="6"/>
  </w:num>
  <w:num w:numId="49" w16cid:durableId="1564873156">
    <w:abstractNumId w:val="57"/>
  </w:num>
  <w:num w:numId="50" w16cid:durableId="887230257">
    <w:abstractNumId w:val="49"/>
  </w:num>
  <w:num w:numId="51" w16cid:durableId="321204695">
    <w:abstractNumId w:val="34"/>
  </w:num>
  <w:num w:numId="52" w16cid:durableId="754475438">
    <w:abstractNumId w:val="38"/>
  </w:num>
  <w:num w:numId="53" w16cid:durableId="1154762227">
    <w:abstractNumId w:val="44"/>
  </w:num>
  <w:num w:numId="54" w16cid:durableId="869414347">
    <w:abstractNumId w:val="54"/>
  </w:num>
  <w:num w:numId="55" w16cid:durableId="963996861">
    <w:abstractNumId w:val="31"/>
  </w:num>
  <w:num w:numId="56" w16cid:durableId="255331164">
    <w:abstractNumId w:val="55"/>
  </w:num>
  <w:num w:numId="57" w16cid:durableId="518786143">
    <w:abstractNumId w:val="39"/>
  </w:num>
  <w:num w:numId="58" w16cid:durableId="799229728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4C"/>
    <w:rsid w:val="00001E92"/>
    <w:rsid w:val="00002F2D"/>
    <w:rsid w:val="00007829"/>
    <w:rsid w:val="00011489"/>
    <w:rsid w:val="00016D30"/>
    <w:rsid w:val="000329AF"/>
    <w:rsid w:val="00033B2E"/>
    <w:rsid w:val="000437C6"/>
    <w:rsid w:val="000438CA"/>
    <w:rsid w:val="00045773"/>
    <w:rsid w:val="00047460"/>
    <w:rsid w:val="00053A85"/>
    <w:rsid w:val="000565D5"/>
    <w:rsid w:val="00061D58"/>
    <w:rsid w:val="00067EE1"/>
    <w:rsid w:val="0007478A"/>
    <w:rsid w:val="00077803"/>
    <w:rsid w:val="00081F04"/>
    <w:rsid w:val="00083E0D"/>
    <w:rsid w:val="000919CA"/>
    <w:rsid w:val="00093A57"/>
    <w:rsid w:val="000952F7"/>
    <w:rsid w:val="0009569E"/>
    <w:rsid w:val="000A1E50"/>
    <w:rsid w:val="000B1C2D"/>
    <w:rsid w:val="000B45BF"/>
    <w:rsid w:val="000B500A"/>
    <w:rsid w:val="000B5F5E"/>
    <w:rsid w:val="000C20AC"/>
    <w:rsid w:val="000C3DD5"/>
    <w:rsid w:val="000D3175"/>
    <w:rsid w:val="000E0126"/>
    <w:rsid w:val="000E60D1"/>
    <w:rsid w:val="000E78AC"/>
    <w:rsid w:val="000F22D1"/>
    <w:rsid w:val="000F79D5"/>
    <w:rsid w:val="001031A4"/>
    <w:rsid w:val="0010327A"/>
    <w:rsid w:val="00106225"/>
    <w:rsid w:val="00107B83"/>
    <w:rsid w:val="00112217"/>
    <w:rsid w:val="0011351E"/>
    <w:rsid w:val="00113E5A"/>
    <w:rsid w:val="00116849"/>
    <w:rsid w:val="00117179"/>
    <w:rsid w:val="00121904"/>
    <w:rsid w:val="00130B35"/>
    <w:rsid w:val="00133899"/>
    <w:rsid w:val="00133A54"/>
    <w:rsid w:val="001344A5"/>
    <w:rsid w:val="00144137"/>
    <w:rsid w:val="001467A0"/>
    <w:rsid w:val="00151B78"/>
    <w:rsid w:val="00154C80"/>
    <w:rsid w:val="00157BDC"/>
    <w:rsid w:val="00157C75"/>
    <w:rsid w:val="001600F6"/>
    <w:rsid w:val="00160488"/>
    <w:rsid w:val="00162316"/>
    <w:rsid w:val="0016324B"/>
    <w:rsid w:val="00167E71"/>
    <w:rsid w:val="00174F28"/>
    <w:rsid w:val="00183E1D"/>
    <w:rsid w:val="00184135"/>
    <w:rsid w:val="00185BC6"/>
    <w:rsid w:val="00193138"/>
    <w:rsid w:val="00194BFA"/>
    <w:rsid w:val="00194FB4"/>
    <w:rsid w:val="0019647F"/>
    <w:rsid w:val="001A26E1"/>
    <w:rsid w:val="001A6239"/>
    <w:rsid w:val="001B036A"/>
    <w:rsid w:val="001B5156"/>
    <w:rsid w:val="001B696E"/>
    <w:rsid w:val="001B773C"/>
    <w:rsid w:val="001C10B1"/>
    <w:rsid w:val="001C1C55"/>
    <w:rsid w:val="001C2362"/>
    <w:rsid w:val="001C5E00"/>
    <w:rsid w:val="001D1CFE"/>
    <w:rsid w:val="001D4092"/>
    <w:rsid w:val="001D51F2"/>
    <w:rsid w:val="001E1CC7"/>
    <w:rsid w:val="001E27C8"/>
    <w:rsid w:val="001E2B9F"/>
    <w:rsid w:val="001E3F3B"/>
    <w:rsid w:val="001E5EB0"/>
    <w:rsid w:val="00201448"/>
    <w:rsid w:val="00204732"/>
    <w:rsid w:val="002055B8"/>
    <w:rsid w:val="002116C0"/>
    <w:rsid w:val="002117DB"/>
    <w:rsid w:val="0021518F"/>
    <w:rsid w:val="00221391"/>
    <w:rsid w:val="002227A9"/>
    <w:rsid w:val="00225055"/>
    <w:rsid w:val="0022673D"/>
    <w:rsid w:val="00226B18"/>
    <w:rsid w:val="002368DB"/>
    <w:rsid w:val="00241827"/>
    <w:rsid w:val="00244B38"/>
    <w:rsid w:val="00244B9A"/>
    <w:rsid w:val="00250A69"/>
    <w:rsid w:val="00253B99"/>
    <w:rsid w:val="0025595E"/>
    <w:rsid w:val="00261C4C"/>
    <w:rsid w:val="0026695B"/>
    <w:rsid w:val="00266CD1"/>
    <w:rsid w:val="00271C0E"/>
    <w:rsid w:val="002732B4"/>
    <w:rsid w:val="0027569F"/>
    <w:rsid w:val="00277D03"/>
    <w:rsid w:val="00282642"/>
    <w:rsid w:val="00283A58"/>
    <w:rsid w:val="0028465C"/>
    <w:rsid w:val="00284DC9"/>
    <w:rsid w:val="00292801"/>
    <w:rsid w:val="002931C1"/>
    <w:rsid w:val="002939F8"/>
    <w:rsid w:val="00293B14"/>
    <w:rsid w:val="002A07DA"/>
    <w:rsid w:val="002A70E7"/>
    <w:rsid w:val="002B76A0"/>
    <w:rsid w:val="002C1194"/>
    <w:rsid w:val="002C3727"/>
    <w:rsid w:val="002C64F4"/>
    <w:rsid w:val="002D0B58"/>
    <w:rsid w:val="002D2F32"/>
    <w:rsid w:val="002D7E22"/>
    <w:rsid w:val="002E6D56"/>
    <w:rsid w:val="002F108B"/>
    <w:rsid w:val="002F3D01"/>
    <w:rsid w:val="002F5323"/>
    <w:rsid w:val="00300F16"/>
    <w:rsid w:val="00301876"/>
    <w:rsid w:val="00303CF8"/>
    <w:rsid w:val="00305682"/>
    <w:rsid w:val="00307755"/>
    <w:rsid w:val="00310EFF"/>
    <w:rsid w:val="003152B0"/>
    <w:rsid w:val="00321635"/>
    <w:rsid w:val="00321E9B"/>
    <w:rsid w:val="00333973"/>
    <w:rsid w:val="003341E9"/>
    <w:rsid w:val="003358A3"/>
    <w:rsid w:val="00336BD4"/>
    <w:rsid w:val="003371C8"/>
    <w:rsid w:val="00344BF3"/>
    <w:rsid w:val="0035090C"/>
    <w:rsid w:val="00350A2F"/>
    <w:rsid w:val="00357B34"/>
    <w:rsid w:val="003612FB"/>
    <w:rsid w:val="00363466"/>
    <w:rsid w:val="0036456E"/>
    <w:rsid w:val="00365A3B"/>
    <w:rsid w:val="00372A76"/>
    <w:rsid w:val="00372CCC"/>
    <w:rsid w:val="003746E1"/>
    <w:rsid w:val="0037488A"/>
    <w:rsid w:val="00381F53"/>
    <w:rsid w:val="0038351C"/>
    <w:rsid w:val="0038601D"/>
    <w:rsid w:val="003937A3"/>
    <w:rsid w:val="003A0136"/>
    <w:rsid w:val="003A10EE"/>
    <w:rsid w:val="003A1B55"/>
    <w:rsid w:val="003A50C3"/>
    <w:rsid w:val="003A5856"/>
    <w:rsid w:val="003A5DB6"/>
    <w:rsid w:val="003B11F0"/>
    <w:rsid w:val="003B1600"/>
    <w:rsid w:val="003C14F6"/>
    <w:rsid w:val="003C4319"/>
    <w:rsid w:val="003C4848"/>
    <w:rsid w:val="003C7860"/>
    <w:rsid w:val="003D0513"/>
    <w:rsid w:val="003D0FC5"/>
    <w:rsid w:val="003D22E4"/>
    <w:rsid w:val="003D29F6"/>
    <w:rsid w:val="003D6EB6"/>
    <w:rsid w:val="003E53DD"/>
    <w:rsid w:val="003F106B"/>
    <w:rsid w:val="003F3256"/>
    <w:rsid w:val="003F5D9D"/>
    <w:rsid w:val="00405D9E"/>
    <w:rsid w:val="00407BDF"/>
    <w:rsid w:val="00410E4D"/>
    <w:rsid w:val="004163A8"/>
    <w:rsid w:val="00416702"/>
    <w:rsid w:val="0042233A"/>
    <w:rsid w:val="00430B8F"/>
    <w:rsid w:val="00431340"/>
    <w:rsid w:val="00433320"/>
    <w:rsid w:val="00434856"/>
    <w:rsid w:val="00442FCA"/>
    <w:rsid w:val="0045072D"/>
    <w:rsid w:val="00451D6D"/>
    <w:rsid w:val="00451DE5"/>
    <w:rsid w:val="00461E18"/>
    <w:rsid w:val="00463AAF"/>
    <w:rsid w:val="00465D6B"/>
    <w:rsid w:val="00466BC5"/>
    <w:rsid w:val="004713E1"/>
    <w:rsid w:val="00473E81"/>
    <w:rsid w:val="00473EAD"/>
    <w:rsid w:val="00474997"/>
    <w:rsid w:val="004761BC"/>
    <w:rsid w:val="00477033"/>
    <w:rsid w:val="004800CC"/>
    <w:rsid w:val="0048045E"/>
    <w:rsid w:val="00480AA6"/>
    <w:rsid w:val="00481ADD"/>
    <w:rsid w:val="00484E07"/>
    <w:rsid w:val="004934B2"/>
    <w:rsid w:val="00495031"/>
    <w:rsid w:val="004976A0"/>
    <w:rsid w:val="004A1E26"/>
    <w:rsid w:val="004A4143"/>
    <w:rsid w:val="004A4ECD"/>
    <w:rsid w:val="004B51F9"/>
    <w:rsid w:val="004B6A84"/>
    <w:rsid w:val="004C2831"/>
    <w:rsid w:val="004C5CC4"/>
    <w:rsid w:val="004C6B45"/>
    <w:rsid w:val="004D266B"/>
    <w:rsid w:val="004D31BA"/>
    <w:rsid w:val="004E159F"/>
    <w:rsid w:val="004E3846"/>
    <w:rsid w:val="004E7E48"/>
    <w:rsid w:val="004F3028"/>
    <w:rsid w:val="004F3CC8"/>
    <w:rsid w:val="005020A3"/>
    <w:rsid w:val="0050743D"/>
    <w:rsid w:val="00507699"/>
    <w:rsid w:val="00512E1B"/>
    <w:rsid w:val="005163D8"/>
    <w:rsid w:val="005167A5"/>
    <w:rsid w:val="00516D69"/>
    <w:rsid w:val="00516E13"/>
    <w:rsid w:val="00521161"/>
    <w:rsid w:val="00527926"/>
    <w:rsid w:val="0053074E"/>
    <w:rsid w:val="00532530"/>
    <w:rsid w:val="005326F1"/>
    <w:rsid w:val="00541CFE"/>
    <w:rsid w:val="00542866"/>
    <w:rsid w:val="00550781"/>
    <w:rsid w:val="005514A4"/>
    <w:rsid w:val="005557A7"/>
    <w:rsid w:val="0055622B"/>
    <w:rsid w:val="00557C76"/>
    <w:rsid w:val="00563CB6"/>
    <w:rsid w:val="00565360"/>
    <w:rsid w:val="005702C7"/>
    <w:rsid w:val="00572FC3"/>
    <w:rsid w:val="00574651"/>
    <w:rsid w:val="00574F5B"/>
    <w:rsid w:val="005750DD"/>
    <w:rsid w:val="00577E4C"/>
    <w:rsid w:val="00586091"/>
    <w:rsid w:val="005964AD"/>
    <w:rsid w:val="00596DB6"/>
    <w:rsid w:val="005A1077"/>
    <w:rsid w:val="005A1E2E"/>
    <w:rsid w:val="005A216A"/>
    <w:rsid w:val="005A3D86"/>
    <w:rsid w:val="005A746E"/>
    <w:rsid w:val="005B1905"/>
    <w:rsid w:val="005B37EA"/>
    <w:rsid w:val="005B413B"/>
    <w:rsid w:val="005B7696"/>
    <w:rsid w:val="005B7C0A"/>
    <w:rsid w:val="005C3827"/>
    <w:rsid w:val="005D0DDD"/>
    <w:rsid w:val="005D3756"/>
    <w:rsid w:val="005E0A91"/>
    <w:rsid w:val="005F0782"/>
    <w:rsid w:val="005F2825"/>
    <w:rsid w:val="005F4403"/>
    <w:rsid w:val="005F49B6"/>
    <w:rsid w:val="005F68C7"/>
    <w:rsid w:val="0060200E"/>
    <w:rsid w:val="00604821"/>
    <w:rsid w:val="00607705"/>
    <w:rsid w:val="00610AA3"/>
    <w:rsid w:val="00614549"/>
    <w:rsid w:val="00614EE8"/>
    <w:rsid w:val="006170CA"/>
    <w:rsid w:val="00622058"/>
    <w:rsid w:val="0062235A"/>
    <w:rsid w:val="006255FA"/>
    <w:rsid w:val="006343AD"/>
    <w:rsid w:val="00634E11"/>
    <w:rsid w:val="00635E94"/>
    <w:rsid w:val="006419FC"/>
    <w:rsid w:val="00644A27"/>
    <w:rsid w:val="00647088"/>
    <w:rsid w:val="00650673"/>
    <w:rsid w:val="006506F8"/>
    <w:rsid w:val="00650FC4"/>
    <w:rsid w:val="00653572"/>
    <w:rsid w:val="006606F0"/>
    <w:rsid w:val="00663D46"/>
    <w:rsid w:val="00664DBB"/>
    <w:rsid w:val="00666304"/>
    <w:rsid w:val="006669CD"/>
    <w:rsid w:val="006719CF"/>
    <w:rsid w:val="006745DE"/>
    <w:rsid w:val="00674DA5"/>
    <w:rsid w:val="006756E4"/>
    <w:rsid w:val="00675861"/>
    <w:rsid w:val="00675C67"/>
    <w:rsid w:val="006806F1"/>
    <w:rsid w:val="00686CD9"/>
    <w:rsid w:val="00691588"/>
    <w:rsid w:val="00692239"/>
    <w:rsid w:val="0069272F"/>
    <w:rsid w:val="00692E26"/>
    <w:rsid w:val="0069462E"/>
    <w:rsid w:val="006A067E"/>
    <w:rsid w:val="006A12B4"/>
    <w:rsid w:val="006A1319"/>
    <w:rsid w:val="006A46C1"/>
    <w:rsid w:val="006A72F1"/>
    <w:rsid w:val="006B0BE2"/>
    <w:rsid w:val="006B1577"/>
    <w:rsid w:val="006B2444"/>
    <w:rsid w:val="006B3B8D"/>
    <w:rsid w:val="006B79B7"/>
    <w:rsid w:val="006C1C85"/>
    <w:rsid w:val="006C2144"/>
    <w:rsid w:val="006C6BBB"/>
    <w:rsid w:val="006D3B6C"/>
    <w:rsid w:val="006D5766"/>
    <w:rsid w:val="006D6B5D"/>
    <w:rsid w:val="006F38CA"/>
    <w:rsid w:val="00703D37"/>
    <w:rsid w:val="00704643"/>
    <w:rsid w:val="007047EB"/>
    <w:rsid w:val="0070498C"/>
    <w:rsid w:val="0071060F"/>
    <w:rsid w:val="00714CAF"/>
    <w:rsid w:val="007160C1"/>
    <w:rsid w:val="007231E4"/>
    <w:rsid w:val="0072630B"/>
    <w:rsid w:val="00727D76"/>
    <w:rsid w:val="007331D7"/>
    <w:rsid w:val="00734BB2"/>
    <w:rsid w:val="00736BE5"/>
    <w:rsid w:val="00736F05"/>
    <w:rsid w:val="0074141B"/>
    <w:rsid w:val="00747432"/>
    <w:rsid w:val="00747E21"/>
    <w:rsid w:val="00752F1E"/>
    <w:rsid w:val="00754DDD"/>
    <w:rsid w:val="00760CA8"/>
    <w:rsid w:val="00763480"/>
    <w:rsid w:val="00765BBC"/>
    <w:rsid w:val="00767C9C"/>
    <w:rsid w:val="007730C5"/>
    <w:rsid w:val="00773B90"/>
    <w:rsid w:val="00773EDF"/>
    <w:rsid w:val="00774439"/>
    <w:rsid w:val="00774984"/>
    <w:rsid w:val="0078479F"/>
    <w:rsid w:val="00785560"/>
    <w:rsid w:val="00792139"/>
    <w:rsid w:val="007A20B8"/>
    <w:rsid w:val="007A7878"/>
    <w:rsid w:val="007B227E"/>
    <w:rsid w:val="007B6156"/>
    <w:rsid w:val="007C1614"/>
    <w:rsid w:val="007C21BE"/>
    <w:rsid w:val="007C2E9F"/>
    <w:rsid w:val="007C390F"/>
    <w:rsid w:val="007C4793"/>
    <w:rsid w:val="007C5F03"/>
    <w:rsid w:val="007E205F"/>
    <w:rsid w:val="007E4F8A"/>
    <w:rsid w:val="007E5288"/>
    <w:rsid w:val="007E535D"/>
    <w:rsid w:val="007E68F6"/>
    <w:rsid w:val="007F070D"/>
    <w:rsid w:val="007F106E"/>
    <w:rsid w:val="007F1E2E"/>
    <w:rsid w:val="007F3B36"/>
    <w:rsid w:val="0080095D"/>
    <w:rsid w:val="00800FF3"/>
    <w:rsid w:val="008053DD"/>
    <w:rsid w:val="008056EA"/>
    <w:rsid w:val="0080596F"/>
    <w:rsid w:val="00805AA3"/>
    <w:rsid w:val="00807EAA"/>
    <w:rsid w:val="008116EE"/>
    <w:rsid w:val="00814157"/>
    <w:rsid w:val="00816A50"/>
    <w:rsid w:val="008213C0"/>
    <w:rsid w:val="00823E0E"/>
    <w:rsid w:val="00825726"/>
    <w:rsid w:val="00830071"/>
    <w:rsid w:val="00832A28"/>
    <w:rsid w:val="00834352"/>
    <w:rsid w:val="008374E0"/>
    <w:rsid w:val="00842D2E"/>
    <w:rsid w:val="00852230"/>
    <w:rsid w:val="0085312B"/>
    <w:rsid w:val="00853D5D"/>
    <w:rsid w:val="0086101D"/>
    <w:rsid w:val="008639B1"/>
    <w:rsid w:val="00864A22"/>
    <w:rsid w:val="008655EF"/>
    <w:rsid w:val="008679F1"/>
    <w:rsid w:val="00872021"/>
    <w:rsid w:val="00874BDD"/>
    <w:rsid w:val="00874CFA"/>
    <w:rsid w:val="00876535"/>
    <w:rsid w:val="008765D0"/>
    <w:rsid w:val="0088288A"/>
    <w:rsid w:val="00884615"/>
    <w:rsid w:val="008920F4"/>
    <w:rsid w:val="00896C00"/>
    <w:rsid w:val="008A0143"/>
    <w:rsid w:val="008A067F"/>
    <w:rsid w:val="008B41CB"/>
    <w:rsid w:val="008B4A0E"/>
    <w:rsid w:val="008B5839"/>
    <w:rsid w:val="008B6531"/>
    <w:rsid w:val="008B70C1"/>
    <w:rsid w:val="008C10EB"/>
    <w:rsid w:val="008C213F"/>
    <w:rsid w:val="008C333D"/>
    <w:rsid w:val="008C7A90"/>
    <w:rsid w:val="008C7EAC"/>
    <w:rsid w:val="008D128B"/>
    <w:rsid w:val="008D2FCA"/>
    <w:rsid w:val="008D70FB"/>
    <w:rsid w:val="008D7D5B"/>
    <w:rsid w:val="008D7F9B"/>
    <w:rsid w:val="008E2210"/>
    <w:rsid w:val="008E2841"/>
    <w:rsid w:val="008E3292"/>
    <w:rsid w:val="008E537D"/>
    <w:rsid w:val="008E6436"/>
    <w:rsid w:val="008F1CB6"/>
    <w:rsid w:val="008F5673"/>
    <w:rsid w:val="008F6881"/>
    <w:rsid w:val="009104AA"/>
    <w:rsid w:val="00910812"/>
    <w:rsid w:val="00914AD7"/>
    <w:rsid w:val="00922297"/>
    <w:rsid w:val="00926034"/>
    <w:rsid w:val="009318A6"/>
    <w:rsid w:val="009400C6"/>
    <w:rsid w:val="009412A4"/>
    <w:rsid w:val="009416D3"/>
    <w:rsid w:val="00941A5C"/>
    <w:rsid w:val="009429A7"/>
    <w:rsid w:val="00945368"/>
    <w:rsid w:val="00945D39"/>
    <w:rsid w:val="00947CE7"/>
    <w:rsid w:val="00950E82"/>
    <w:rsid w:val="00953846"/>
    <w:rsid w:val="00956EAD"/>
    <w:rsid w:val="009579D7"/>
    <w:rsid w:val="00961EDB"/>
    <w:rsid w:val="00962292"/>
    <w:rsid w:val="00964F1C"/>
    <w:rsid w:val="0096566C"/>
    <w:rsid w:val="00972024"/>
    <w:rsid w:val="0097710D"/>
    <w:rsid w:val="009810BA"/>
    <w:rsid w:val="0098455C"/>
    <w:rsid w:val="009850D6"/>
    <w:rsid w:val="00987A5F"/>
    <w:rsid w:val="0099101D"/>
    <w:rsid w:val="00993700"/>
    <w:rsid w:val="00993BDF"/>
    <w:rsid w:val="009943E1"/>
    <w:rsid w:val="009A08D6"/>
    <w:rsid w:val="009A4259"/>
    <w:rsid w:val="009A4BCA"/>
    <w:rsid w:val="009A5201"/>
    <w:rsid w:val="009B0FDA"/>
    <w:rsid w:val="009C2A61"/>
    <w:rsid w:val="009C572E"/>
    <w:rsid w:val="009C5B77"/>
    <w:rsid w:val="009C7E87"/>
    <w:rsid w:val="009D0FB6"/>
    <w:rsid w:val="009D1D4D"/>
    <w:rsid w:val="009D2528"/>
    <w:rsid w:val="009D4E1B"/>
    <w:rsid w:val="009D55CA"/>
    <w:rsid w:val="009D687F"/>
    <w:rsid w:val="009E2DE8"/>
    <w:rsid w:val="009E5F6F"/>
    <w:rsid w:val="009E6EEB"/>
    <w:rsid w:val="009E7452"/>
    <w:rsid w:val="009F5AB7"/>
    <w:rsid w:val="009F5CE6"/>
    <w:rsid w:val="009F6BA1"/>
    <w:rsid w:val="00A009E2"/>
    <w:rsid w:val="00A032E8"/>
    <w:rsid w:val="00A13F83"/>
    <w:rsid w:val="00A15138"/>
    <w:rsid w:val="00A151FA"/>
    <w:rsid w:val="00A16AD0"/>
    <w:rsid w:val="00A16B2A"/>
    <w:rsid w:val="00A229F8"/>
    <w:rsid w:val="00A27DBD"/>
    <w:rsid w:val="00A32C21"/>
    <w:rsid w:val="00A411F0"/>
    <w:rsid w:val="00A44B91"/>
    <w:rsid w:val="00A51D41"/>
    <w:rsid w:val="00A5564F"/>
    <w:rsid w:val="00A56DC9"/>
    <w:rsid w:val="00A62F79"/>
    <w:rsid w:val="00A65638"/>
    <w:rsid w:val="00A65AA3"/>
    <w:rsid w:val="00A709F5"/>
    <w:rsid w:val="00A72905"/>
    <w:rsid w:val="00A757FD"/>
    <w:rsid w:val="00A80764"/>
    <w:rsid w:val="00A8136B"/>
    <w:rsid w:val="00A82B5F"/>
    <w:rsid w:val="00A854C0"/>
    <w:rsid w:val="00A8585B"/>
    <w:rsid w:val="00A864BF"/>
    <w:rsid w:val="00A9480F"/>
    <w:rsid w:val="00A949C5"/>
    <w:rsid w:val="00AA02BC"/>
    <w:rsid w:val="00AA1869"/>
    <w:rsid w:val="00AA6B10"/>
    <w:rsid w:val="00AA6D65"/>
    <w:rsid w:val="00AB13D6"/>
    <w:rsid w:val="00AB20ED"/>
    <w:rsid w:val="00AB7116"/>
    <w:rsid w:val="00AC2E1C"/>
    <w:rsid w:val="00AC4655"/>
    <w:rsid w:val="00AD0C0E"/>
    <w:rsid w:val="00AD25BD"/>
    <w:rsid w:val="00AD309C"/>
    <w:rsid w:val="00AD7150"/>
    <w:rsid w:val="00AE6B01"/>
    <w:rsid w:val="00AF0C81"/>
    <w:rsid w:val="00AF27ED"/>
    <w:rsid w:val="00AF619E"/>
    <w:rsid w:val="00AF7790"/>
    <w:rsid w:val="00AF7F5F"/>
    <w:rsid w:val="00B008BC"/>
    <w:rsid w:val="00B04D59"/>
    <w:rsid w:val="00B05A8A"/>
    <w:rsid w:val="00B07D44"/>
    <w:rsid w:val="00B15B92"/>
    <w:rsid w:val="00B17589"/>
    <w:rsid w:val="00B17DBA"/>
    <w:rsid w:val="00B249A1"/>
    <w:rsid w:val="00B27640"/>
    <w:rsid w:val="00B31A8A"/>
    <w:rsid w:val="00B3240D"/>
    <w:rsid w:val="00B34FFE"/>
    <w:rsid w:val="00B43438"/>
    <w:rsid w:val="00B4502C"/>
    <w:rsid w:val="00B5232B"/>
    <w:rsid w:val="00B67E8A"/>
    <w:rsid w:val="00B7138E"/>
    <w:rsid w:val="00B723A2"/>
    <w:rsid w:val="00B7374D"/>
    <w:rsid w:val="00B73E91"/>
    <w:rsid w:val="00B77E2D"/>
    <w:rsid w:val="00B80ECC"/>
    <w:rsid w:val="00B820D9"/>
    <w:rsid w:val="00B83842"/>
    <w:rsid w:val="00B906C8"/>
    <w:rsid w:val="00B90A64"/>
    <w:rsid w:val="00B92B66"/>
    <w:rsid w:val="00B92F87"/>
    <w:rsid w:val="00B94D53"/>
    <w:rsid w:val="00B957A5"/>
    <w:rsid w:val="00B9642A"/>
    <w:rsid w:val="00B96911"/>
    <w:rsid w:val="00B9790B"/>
    <w:rsid w:val="00B9791B"/>
    <w:rsid w:val="00BA0CD4"/>
    <w:rsid w:val="00BA130A"/>
    <w:rsid w:val="00BA66D5"/>
    <w:rsid w:val="00BB4DAE"/>
    <w:rsid w:val="00BB6735"/>
    <w:rsid w:val="00BC0644"/>
    <w:rsid w:val="00BC328F"/>
    <w:rsid w:val="00BC5204"/>
    <w:rsid w:val="00BD0B41"/>
    <w:rsid w:val="00BD1B15"/>
    <w:rsid w:val="00BD5F71"/>
    <w:rsid w:val="00BD7817"/>
    <w:rsid w:val="00BD78E9"/>
    <w:rsid w:val="00BD7B89"/>
    <w:rsid w:val="00BE0BD0"/>
    <w:rsid w:val="00BE0F2A"/>
    <w:rsid w:val="00BE5FC9"/>
    <w:rsid w:val="00BE61DC"/>
    <w:rsid w:val="00BF252A"/>
    <w:rsid w:val="00BF5024"/>
    <w:rsid w:val="00BF57A3"/>
    <w:rsid w:val="00BF7D12"/>
    <w:rsid w:val="00BF7ED3"/>
    <w:rsid w:val="00C00344"/>
    <w:rsid w:val="00C07F7F"/>
    <w:rsid w:val="00C1018B"/>
    <w:rsid w:val="00C10444"/>
    <w:rsid w:val="00C15483"/>
    <w:rsid w:val="00C173E8"/>
    <w:rsid w:val="00C200CB"/>
    <w:rsid w:val="00C223F7"/>
    <w:rsid w:val="00C31C61"/>
    <w:rsid w:val="00C34E42"/>
    <w:rsid w:val="00C43D4E"/>
    <w:rsid w:val="00C4584C"/>
    <w:rsid w:val="00C46686"/>
    <w:rsid w:val="00C51F63"/>
    <w:rsid w:val="00C55745"/>
    <w:rsid w:val="00C65A8A"/>
    <w:rsid w:val="00C67649"/>
    <w:rsid w:val="00C717DE"/>
    <w:rsid w:val="00C72D0D"/>
    <w:rsid w:val="00C73077"/>
    <w:rsid w:val="00C73C4D"/>
    <w:rsid w:val="00C75EAB"/>
    <w:rsid w:val="00C75FE4"/>
    <w:rsid w:val="00C77B6E"/>
    <w:rsid w:val="00C77CE0"/>
    <w:rsid w:val="00C81727"/>
    <w:rsid w:val="00C87802"/>
    <w:rsid w:val="00C917A6"/>
    <w:rsid w:val="00C92528"/>
    <w:rsid w:val="00C92BB5"/>
    <w:rsid w:val="00C93978"/>
    <w:rsid w:val="00C942F9"/>
    <w:rsid w:val="00C976AC"/>
    <w:rsid w:val="00CA5447"/>
    <w:rsid w:val="00CA653B"/>
    <w:rsid w:val="00CA6772"/>
    <w:rsid w:val="00CB07FB"/>
    <w:rsid w:val="00CB54B0"/>
    <w:rsid w:val="00CB6D05"/>
    <w:rsid w:val="00CC0063"/>
    <w:rsid w:val="00CC02BF"/>
    <w:rsid w:val="00CC0616"/>
    <w:rsid w:val="00CC238A"/>
    <w:rsid w:val="00CC44A8"/>
    <w:rsid w:val="00CD23A2"/>
    <w:rsid w:val="00CD436E"/>
    <w:rsid w:val="00CE4338"/>
    <w:rsid w:val="00CE6C4D"/>
    <w:rsid w:val="00CF4631"/>
    <w:rsid w:val="00CF5488"/>
    <w:rsid w:val="00D0036D"/>
    <w:rsid w:val="00D00972"/>
    <w:rsid w:val="00D02237"/>
    <w:rsid w:val="00D02360"/>
    <w:rsid w:val="00D0518C"/>
    <w:rsid w:val="00D07288"/>
    <w:rsid w:val="00D07EB6"/>
    <w:rsid w:val="00D23FE0"/>
    <w:rsid w:val="00D26B8F"/>
    <w:rsid w:val="00D33AAA"/>
    <w:rsid w:val="00D341E3"/>
    <w:rsid w:val="00D34DB9"/>
    <w:rsid w:val="00D350E5"/>
    <w:rsid w:val="00D42983"/>
    <w:rsid w:val="00D46CB2"/>
    <w:rsid w:val="00D56715"/>
    <w:rsid w:val="00D62F26"/>
    <w:rsid w:val="00D72DF5"/>
    <w:rsid w:val="00D732FC"/>
    <w:rsid w:val="00D7653E"/>
    <w:rsid w:val="00D82C7C"/>
    <w:rsid w:val="00D839D0"/>
    <w:rsid w:val="00D8507C"/>
    <w:rsid w:val="00D87BFD"/>
    <w:rsid w:val="00D90A8B"/>
    <w:rsid w:val="00D95E99"/>
    <w:rsid w:val="00DA5DDA"/>
    <w:rsid w:val="00DA5DFC"/>
    <w:rsid w:val="00DB2FE2"/>
    <w:rsid w:val="00DB478F"/>
    <w:rsid w:val="00DB5A71"/>
    <w:rsid w:val="00DC2D97"/>
    <w:rsid w:val="00DC5D93"/>
    <w:rsid w:val="00DC768F"/>
    <w:rsid w:val="00DD2F79"/>
    <w:rsid w:val="00DD4374"/>
    <w:rsid w:val="00DD4E4F"/>
    <w:rsid w:val="00DE0292"/>
    <w:rsid w:val="00DE0E27"/>
    <w:rsid w:val="00DE14D1"/>
    <w:rsid w:val="00DE2237"/>
    <w:rsid w:val="00DE2AD2"/>
    <w:rsid w:val="00DE4629"/>
    <w:rsid w:val="00DF204F"/>
    <w:rsid w:val="00DF3D6A"/>
    <w:rsid w:val="00DF5755"/>
    <w:rsid w:val="00DF5D86"/>
    <w:rsid w:val="00DF64E1"/>
    <w:rsid w:val="00E00EA0"/>
    <w:rsid w:val="00E041F2"/>
    <w:rsid w:val="00E05EEF"/>
    <w:rsid w:val="00E12F82"/>
    <w:rsid w:val="00E16B9C"/>
    <w:rsid w:val="00E3278D"/>
    <w:rsid w:val="00E35389"/>
    <w:rsid w:val="00E41510"/>
    <w:rsid w:val="00E471B6"/>
    <w:rsid w:val="00E53153"/>
    <w:rsid w:val="00E54B9A"/>
    <w:rsid w:val="00E55AF6"/>
    <w:rsid w:val="00E5754D"/>
    <w:rsid w:val="00E600D7"/>
    <w:rsid w:val="00E6205A"/>
    <w:rsid w:val="00E62C8C"/>
    <w:rsid w:val="00E73642"/>
    <w:rsid w:val="00E87ADB"/>
    <w:rsid w:val="00E90C6C"/>
    <w:rsid w:val="00E96C3C"/>
    <w:rsid w:val="00E96C6A"/>
    <w:rsid w:val="00E9799C"/>
    <w:rsid w:val="00EA1A5B"/>
    <w:rsid w:val="00EA30EB"/>
    <w:rsid w:val="00EA3D8A"/>
    <w:rsid w:val="00EA60D0"/>
    <w:rsid w:val="00EA7CEC"/>
    <w:rsid w:val="00EB39DE"/>
    <w:rsid w:val="00EB4040"/>
    <w:rsid w:val="00EB652F"/>
    <w:rsid w:val="00EB73F6"/>
    <w:rsid w:val="00EC3FBB"/>
    <w:rsid w:val="00EC4E87"/>
    <w:rsid w:val="00EC5C68"/>
    <w:rsid w:val="00ED01E9"/>
    <w:rsid w:val="00ED1C21"/>
    <w:rsid w:val="00ED4685"/>
    <w:rsid w:val="00ED6433"/>
    <w:rsid w:val="00EE264D"/>
    <w:rsid w:val="00EE5877"/>
    <w:rsid w:val="00EE5BAA"/>
    <w:rsid w:val="00EE6A6C"/>
    <w:rsid w:val="00EF4103"/>
    <w:rsid w:val="00F02378"/>
    <w:rsid w:val="00F0385E"/>
    <w:rsid w:val="00F04174"/>
    <w:rsid w:val="00F05046"/>
    <w:rsid w:val="00F108BC"/>
    <w:rsid w:val="00F12C86"/>
    <w:rsid w:val="00F15035"/>
    <w:rsid w:val="00F160E6"/>
    <w:rsid w:val="00F16EDF"/>
    <w:rsid w:val="00F172F2"/>
    <w:rsid w:val="00F17AD2"/>
    <w:rsid w:val="00F221F1"/>
    <w:rsid w:val="00F25937"/>
    <w:rsid w:val="00F26615"/>
    <w:rsid w:val="00F31178"/>
    <w:rsid w:val="00F40B9A"/>
    <w:rsid w:val="00F41FA0"/>
    <w:rsid w:val="00F42672"/>
    <w:rsid w:val="00F42A6C"/>
    <w:rsid w:val="00F55902"/>
    <w:rsid w:val="00F55B00"/>
    <w:rsid w:val="00F55E9E"/>
    <w:rsid w:val="00F6450D"/>
    <w:rsid w:val="00F71EEB"/>
    <w:rsid w:val="00F81B34"/>
    <w:rsid w:val="00F84335"/>
    <w:rsid w:val="00F84B3E"/>
    <w:rsid w:val="00F8559E"/>
    <w:rsid w:val="00F90A89"/>
    <w:rsid w:val="00F920DA"/>
    <w:rsid w:val="00F96176"/>
    <w:rsid w:val="00FA3BD9"/>
    <w:rsid w:val="00FA3D46"/>
    <w:rsid w:val="00FA495A"/>
    <w:rsid w:val="00FB36DB"/>
    <w:rsid w:val="00FB47BE"/>
    <w:rsid w:val="00FB53D8"/>
    <w:rsid w:val="00FB6946"/>
    <w:rsid w:val="00FB6E19"/>
    <w:rsid w:val="00FB74BD"/>
    <w:rsid w:val="00FC256B"/>
    <w:rsid w:val="00FD1BB8"/>
    <w:rsid w:val="00FD36F3"/>
    <w:rsid w:val="00FD5A17"/>
    <w:rsid w:val="00FD6014"/>
    <w:rsid w:val="00FD7B1E"/>
    <w:rsid w:val="00FE1529"/>
    <w:rsid w:val="00FE3606"/>
    <w:rsid w:val="00FE629B"/>
    <w:rsid w:val="00FE7149"/>
    <w:rsid w:val="00FF6415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E75AA"/>
  <w15:docId w15:val="{1F17B47E-3BBA-4404-82D2-161D13C5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C75"/>
    <w:pPr>
      <w:spacing w:after="200" w:line="276" w:lineRule="auto"/>
    </w:pPr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Default"/>
    <w:next w:val="Normalny"/>
    <w:link w:val="Nagwek1Znak"/>
    <w:uiPriority w:val="9"/>
    <w:qFormat/>
    <w:rsid w:val="00B75EA1"/>
    <w:pPr>
      <w:spacing w:line="360" w:lineRule="auto"/>
      <w:jc w:val="both"/>
      <w:outlineLvl w:val="0"/>
    </w:pPr>
    <w:rPr>
      <w:b/>
      <w:bCs/>
      <w:color w:val="auto"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B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B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851196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14EE8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851196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1196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75EA1"/>
    <w:rPr>
      <w:rFonts w:eastAsiaTheme="minorEastAsia" w:cs="Times New Roman"/>
      <w:b/>
      <w:bCs/>
      <w:sz w:val="23"/>
      <w:szCs w:val="23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6D422D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8330F"/>
    <w:rPr>
      <w:rFonts w:asciiTheme="minorHAnsi" w:eastAsiaTheme="minorEastAsia" w:hAnsiTheme="minorHAnsi"/>
      <w:sz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50284"/>
    <w:rPr>
      <w:rFonts w:eastAsia="Times New Roman" w:cs="Times New Roman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B3379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Zakotwiczenieprzypisukocowego">
    <w:name w:val="Zakotwiczenie przypisu końcowego"/>
    <w:rsid w:val="00614EE8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B337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849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8496C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E8496C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styleId="Wyrnieniedelikatne">
    <w:name w:val="Subtle Emphasis"/>
    <w:basedOn w:val="Domylnaczcionkaakapitu"/>
    <w:qFormat/>
    <w:rsid w:val="00DD027C"/>
    <w:rPr>
      <w:i/>
      <w:iCs/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02965"/>
    <w:rPr>
      <w:rFonts w:asciiTheme="majorHAnsi" w:eastAsiaTheme="majorEastAsia" w:hAnsiTheme="majorHAnsi" w:cstheme="majorBidi"/>
      <w:b/>
      <w:bCs/>
      <w:color w:val="4F81BD" w:themeColor="accent1"/>
      <w:sz w:val="22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1548D"/>
    <w:rPr>
      <w:color w:val="800080" w:themeColor="followedHyperlink"/>
      <w:u w:val="single"/>
    </w:rPr>
  </w:style>
  <w:style w:type="character" w:customStyle="1" w:styleId="A41">
    <w:name w:val="A4+1"/>
    <w:uiPriority w:val="99"/>
    <w:qFormat/>
    <w:rsid w:val="00267AC7"/>
    <w:rPr>
      <w:rFonts w:cs="EC Square Sans Pro"/>
      <w:i/>
      <w:iCs/>
      <w:color w:val="000000"/>
      <w:sz w:val="34"/>
      <w:szCs w:val="34"/>
    </w:rPr>
  </w:style>
  <w:style w:type="character" w:styleId="Wyrnienieintensywne">
    <w:name w:val="Intense Emphasis"/>
    <w:basedOn w:val="Domylnaczcionkaakapitu"/>
    <w:uiPriority w:val="21"/>
    <w:qFormat/>
    <w:rsid w:val="00207DA1"/>
    <w:rPr>
      <w:rFonts w:cs="Times New Roman"/>
      <w:b/>
      <w:i/>
      <w:color w:val="2DA2BF"/>
    </w:rPr>
  </w:style>
  <w:style w:type="character" w:styleId="Tekstzastpczy">
    <w:name w:val="Placeholder Text"/>
    <w:basedOn w:val="Domylnaczcionkaakapitu"/>
    <w:uiPriority w:val="99"/>
    <w:semiHidden/>
    <w:qFormat/>
    <w:rsid w:val="00B11734"/>
    <w:rPr>
      <w:color w:val="808080"/>
    </w:rPr>
  </w:style>
  <w:style w:type="character" w:customStyle="1" w:styleId="AkapitzlistZnak">
    <w:name w:val="Akapit z listą Znak"/>
    <w:aliases w:val="Akapit z listą BS Znak,Numerowanie Znak,List Paragraph Znak,Kolorowa lista — akcent 11 Znak,List Paragraph compact Znak,Normal bullet 2 Znak,Paragraphe de liste 2 Znak,Reference list Znak,Bullet list Znak,Numbered List Znak,L Znak"/>
    <w:link w:val="Akapitzlist"/>
    <w:uiPriority w:val="34"/>
    <w:qFormat/>
    <w:locked/>
    <w:rsid w:val="00855BCB"/>
    <w:rPr>
      <w:rFonts w:asciiTheme="minorHAnsi" w:eastAsiaTheme="minorEastAsia" w:hAnsiTheme="minorHAnsi"/>
      <w:sz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855BCB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pl-PL"/>
    </w:rPr>
  </w:style>
  <w:style w:type="character" w:customStyle="1" w:styleId="h1">
    <w:name w:val="h1"/>
    <w:basedOn w:val="Domylnaczcionkaakapitu"/>
    <w:qFormat/>
    <w:rsid w:val="00D45FB5"/>
  </w:style>
  <w:style w:type="character" w:customStyle="1" w:styleId="Nagwek2Znak">
    <w:name w:val="Nagłówek 2 Znak"/>
    <w:basedOn w:val="Domylnaczcionkaakapitu"/>
    <w:link w:val="Nagwek2"/>
    <w:uiPriority w:val="9"/>
    <w:qFormat/>
    <w:rsid w:val="00FA7B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DefaultZnak">
    <w:name w:val="Default Znak"/>
    <w:link w:val="Default"/>
    <w:qFormat/>
    <w:locked/>
    <w:rsid w:val="00FF548F"/>
    <w:rPr>
      <w:rFonts w:eastAsiaTheme="minorEastAsia" w:cs="Times New Roman"/>
      <w:color w:val="000000"/>
      <w:szCs w:val="24"/>
      <w:lang w:eastAsia="pl-PL"/>
    </w:rPr>
  </w:style>
  <w:style w:type="character" w:customStyle="1" w:styleId="Nagwek11Znak">
    <w:name w:val="Nagłówek 11 Znak"/>
    <w:basedOn w:val="Nagwek1Znak"/>
    <w:link w:val="Nagwek11"/>
    <w:qFormat/>
    <w:rsid w:val="00837B3B"/>
    <w:rPr>
      <w:rFonts w:asciiTheme="majorHAnsi" w:eastAsiaTheme="minorEastAsia" w:hAnsiTheme="majorHAnsi" w:cs="Times New Roman"/>
      <w:b/>
      <w:bCs/>
      <w:color w:val="31849B" w:themeColor="accent5" w:themeShade="BF"/>
      <w:sz w:val="22"/>
      <w:szCs w:val="23"/>
      <w:lang w:eastAsia="pl-PL"/>
    </w:rPr>
  </w:style>
  <w:style w:type="character" w:customStyle="1" w:styleId="czeindeksu">
    <w:name w:val="Łącze indeksu"/>
    <w:qFormat/>
    <w:rsid w:val="00614EE8"/>
  </w:style>
  <w:style w:type="character" w:customStyle="1" w:styleId="Znakiprzypiswdolnych">
    <w:name w:val="Znaki przypisów dolnych"/>
    <w:qFormat/>
    <w:rsid w:val="00614EE8"/>
  </w:style>
  <w:style w:type="character" w:customStyle="1" w:styleId="Znakiprzypiswkocowych">
    <w:name w:val="Znaki przypisów końcowych"/>
    <w:qFormat/>
    <w:rsid w:val="00614EE8"/>
  </w:style>
  <w:style w:type="paragraph" w:styleId="Nagwek">
    <w:name w:val="header"/>
    <w:basedOn w:val="Normalny"/>
    <w:next w:val="Tekstpodstawowy"/>
    <w:link w:val="Nagwek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7502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rsid w:val="00614EE8"/>
    <w:rPr>
      <w:rFonts w:cs="Arial"/>
    </w:rPr>
  </w:style>
  <w:style w:type="paragraph" w:styleId="Legenda">
    <w:name w:val="caption"/>
    <w:basedOn w:val="Normalny"/>
    <w:qFormat/>
    <w:rsid w:val="00614E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14EE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614EE8"/>
  </w:style>
  <w:style w:type="paragraph" w:customStyle="1" w:styleId="Default">
    <w:name w:val="Default"/>
    <w:link w:val="DefaultZnak"/>
    <w:qFormat/>
    <w:rsid w:val="00851196"/>
    <w:pPr>
      <w:widowControl w:val="0"/>
    </w:pPr>
    <w:rPr>
      <w:rFonts w:eastAsiaTheme="minorEastAsia" w:cs="Times New Roman"/>
      <w:color w:val="000000"/>
      <w:sz w:val="22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85119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11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,Numerowanie,List Paragraph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5B02D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E5598"/>
    <w:pPr>
      <w:keepNext/>
      <w:keepLines/>
      <w:widowControl/>
      <w:spacing w:before="480" w:after="120" w:line="276" w:lineRule="auto"/>
      <w:jc w:val="left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74DA5"/>
    <w:pPr>
      <w:tabs>
        <w:tab w:val="left" w:pos="440"/>
        <w:tab w:val="right" w:leader="dot" w:pos="9072"/>
      </w:tabs>
      <w:spacing w:after="100" w:line="240" w:lineRule="auto"/>
      <w:ind w:left="426" w:right="1" w:hanging="426"/>
    </w:pPr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330F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3379"/>
    <w:pPr>
      <w:spacing w:after="0" w:line="240" w:lineRule="auto"/>
    </w:pPr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925912"/>
    <w:pPr>
      <w:tabs>
        <w:tab w:val="right" w:leader="dot" w:pos="9062"/>
      </w:tabs>
      <w:spacing w:after="100"/>
      <w:ind w:left="238" w:hanging="238"/>
    </w:pPr>
    <w:rPr>
      <w:rFonts w:asciiTheme="majorHAnsi" w:hAnsiTheme="majorHAnsi"/>
      <w:b/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74DA5"/>
    <w:pPr>
      <w:tabs>
        <w:tab w:val="left" w:pos="1100"/>
        <w:tab w:val="right" w:leader="dot" w:pos="8647"/>
      </w:tabs>
      <w:spacing w:after="100"/>
      <w:ind w:left="1134" w:hanging="694"/>
    </w:pPr>
    <w:rPr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E8496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E8496C"/>
    <w:rPr>
      <w:b/>
      <w:bCs/>
    </w:rPr>
  </w:style>
  <w:style w:type="paragraph" w:styleId="Poprawka">
    <w:name w:val="Revision"/>
    <w:uiPriority w:val="99"/>
    <w:semiHidden/>
    <w:qFormat/>
    <w:rsid w:val="00367915"/>
    <w:rPr>
      <w:rFonts w:asciiTheme="minorHAnsi" w:eastAsiaTheme="minorEastAsia" w:hAnsiTheme="minorHAnsi"/>
      <w:sz w:val="22"/>
      <w:lang w:eastAsia="pl-PL"/>
    </w:rPr>
  </w:style>
  <w:style w:type="paragraph" w:styleId="Bezodstpw">
    <w:name w:val="No Spacing"/>
    <w:uiPriority w:val="1"/>
    <w:qFormat/>
    <w:rsid w:val="00AC1FC3"/>
    <w:rPr>
      <w:rFonts w:asciiTheme="minorHAnsi" w:eastAsiaTheme="minorEastAsia" w:hAnsiTheme="minorHAnsi"/>
      <w:sz w:val="22"/>
      <w:lang w:eastAsia="pl-PL"/>
    </w:rPr>
  </w:style>
  <w:style w:type="paragraph" w:customStyle="1" w:styleId="Nagwek11">
    <w:name w:val="Nagłówek 11"/>
    <w:basedOn w:val="Nagwek1"/>
    <w:link w:val="Nagwek11Znak"/>
    <w:qFormat/>
    <w:rsid w:val="00837B3B"/>
    <w:pPr>
      <w:spacing w:line="240" w:lineRule="auto"/>
    </w:pPr>
    <w:rPr>
      <w:rFonts w:asciiTheme="majorHAnsi" w:hAnsiTheme="majorHAnsi"/>
      <w:color w:val="31849B" w:themeColor="accent5" w:themeShade="BF"/>
      <w:sz w:val="22"/>
      <w:szCs w:val="22"/>
    </w:rPr>
  </w:style>
  <w:style w:type="table" w:styleId="Tabela-Siatka">
    <w:name w:val="Table Grid"/>
    <w:basedOn w:val="Standardowy"/>
    <w:uiPriority w:val="39"/>
    <w:rsid w:val="00504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413B"/>
    <w:rPr>
      <w:color w:val="0000FF" w:themeColor="hyperlink"/>
      <w:u w:val="singl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CC02B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931C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73D"/>
    <w:rPr>
      <w:vertAlign w:val="superscript"/>
    </w:rPr>
  </w:style>
  <w:style w:type="character" w:customStyle="1" w:styleId="cf01">
    <w:name w:val="cf01"/>
    <w:rsid w:val="0097710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846"/>
    <w:rPr>
      <w:color w:val="605E5C"/>
      <w:shd w:val="clear" w:color="auto" w:fill="E1DFDD"/>
    </w:rPr>
  </w:style>
  <w:style w:type="paragraph" w:customStyle="1" w:styleId="cel1">
    <w:name w:val="cel 1"/>
    <w:basedOn w:val="Normalny"/>
    <w:uiPriority w:val="99"/>
    <w:rsid w:val="00357B34"/>
    <w:pPr>
      <w:tabs>
        <w:tab w:val="left" w:pos="1134"/>
      </w:tabs>
      <w:suppressAutoHyphens/>
      <w:spacing w:before="120" w:after="120" w:line="240" w:lineRule="auto"/>
      <w:ind w:left="1134" w:hanging="1134"/>
      <w:jc w:val="both"/>
    </w:pPr>
    <w:rPr>
      <w:rFonts w:ascii="Times New Roman" w:eastAsia="Times New Roman" w:hAnsi="Times New Roman" w:cs="Times New Roman"/>
      <w:b/>
      <w:smallCaps/>
      <w:sz w:val="24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podlaskie.pl/dokumenty/ocena-nie-czyn-powaznych-szkod-do-no-significant-harm-dnsh-dla-typow-projektow-ujetych-w-programie-fundusze-europejskie-dla-podlaskiego-2021-202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0BC6-0F8C-4B00-97BC-EABD30FD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4100</Words>
  <Characters>24605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Hościk Barbara</dc:creator>
  <cp:keywords/>
  <dc:description/>
  <cp:lastModifiedBy>Żukowski Daniel</cp:lastModifiedBy>
  <cp:revision>4</cp:revision>
  <cp:lastPrinted>2025-01-21T08:59:00Z</cp:lastPrinted>
  <dcterms:created xsi:type="dcterms:W3CDTF">2025-09-26T12:06:00Z</dcterms:created>
  <dcterms:modified xsi:type="dcterms:W3CDTF">2025-09-30T09:20:00Z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