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D78A" w14:textId="4A2C9C46" w:rsidR="003400C6" w:rsidRDefault="000E120B" w:rsidP="000E120B">
      <w:pPr>
        <w:spacing w:before="120" w:line="276" w:lineRule="auto"/>
        <w:jc w:val="center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03F87E29" wp14:editId="11487EA5">
            <wp:simplePos x="0" y="0"/>
            <wp:positionH relativeFrom="margin">
              <wp:align>center</wp:align>
            </wp:positionH>
            <wp:positionV relativeFrom="margin">
              <wp:posOffset>1089329</wp:posOffset>
            </wp:positionV>
            <wp:extent cx="6358890" cy="699135"/>
            <wp:effectExtent l="0" t="0" r="3810" b="5715"/>
            <wp:wrapSquare wrapText="bothSides"/>
            <wp:docPr id="21075988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F6C">
        <w:rPr>
          <w:rFonts w:ascii="Calibri" w:hAnsi="Calibri" w:cs="Calibri"/>
          <w:lang w:val="pl-PL"/>
        </w:rPr>
        <w:t xml:space="preserve">Szkolenie on-line </w:t>
      </w:r>
      <w:bookmarkStart w:id="0" w:name="_Hlk136807625"/>
      <w:r w:rsidRPr="00A26F6C">
        <w:rPr>
          <w:rFonts w:ascii="Calibri" w:hAnsi="Calibri" w:cs="Calibri"/>
          <w:lang w:val="pl-PL"/>
        </w:rPr>
        <w:t xml:space="preserve">pn. </w:t>
      </w:r>
      <w:bookmarkStart w:id="1" w:name="_Hlk138920966"/>
      <w:bookmarkEnd w:id="0"/>
      <w:r w:rsidR="00F10270">
        <w:rPr>
          <w:rFonts w:ascii="Calibri" w:hAnsi="Calibri" w:cs="Calibri"/>
          <w:lang w:val="pl-PL"/>
        </w:rPr>
        <w:t xml:space="preserve"> </w:t>
      </w:r>
      <w:r w:rsidR="00F55237" w:rsidRPr="00F55237">
        <w:rPr>
          <w:rFonts w:ascii="Calibri" w:hAnsi="Calibri" w:cs="Calibri"/>
          <w:lang w:val="pl-PL"/>
        </w:rPr>
        <w:t>„Zamówienia publiczne przy realizacji projektów</w:t>
      </w:r>
      <w:r w:rsidR="00F10270">
        <w:rPr>
          <w:rFonts w:ascii="Calibri" w:hAnsi="Calibri" w:cs="Calibri"/>
          <w:lang w:val="pl-PL"/>
        </w:rPr>
        <w:t xml:space="preserve"> </w:t>
      </w:r>
      <w:r w:rsidR="00F55237" w:rsidRPr="00F55237">
        <w:rPr>
          <w:rFonts w:ascii="Calibri" w:hAnsi="Calibri" w:cs="Calibri"/>
          <w:lang w:val="pl-PL"/>
        </w:rPr>
        <w:t>z programu Fundusze Europejskie dla Podlaskiego 2021-2027”</w:t>
      </w:r>
    </w:p>
    <w:p w14:paraId="407ED2D0" w14:textId="77777777" w:rsidR="00F55237" w:rsidRPr="00AA6AB0" w:rsidRDefault="00F55237" w:rsidP="000E120B">
      <w:pPr>
        <w:spacing w:before="120" w:line="276" w:lineRule="auto"/>
        <w:jc w:val="center"/>
        <w:rPr>
          <w:rFonts w:ascii="Calibri" w:hAnsi="Calibri" w:cs="Calibri"/>
          <w:b/>
          <w:bCs/>
          <w:sz w:val="8"/>
          <w:szCs w:val="8"/>
          <w:lang w:val="pl-PL"/>
        </w:rPr>
      </w:pPr>
    </w:p>
    <w:p w14:paraId="5B8AE764" w14:textId="77777777" w:rsidR="00F55237" w:rsidRDefault="00F55237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5-6 luty 2025 r.</w:t>
      </w:r>
    </w:p>
    <w:p w14:paraId="2A489F2E" w14:textId="77777777" w:rsidR="00861EE3" w:rsidRDefault="00861EE3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</w:p>
    <w:p w14:paraId="366F68EA" w14:textId="6EC6CBF2" w:rsidR="000E120B" w:rsidRPr="00A26F6C" w:rsidRDefault="000E120B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  <w:r w:rsidRPr="00A26F6C">
        <w:rPr>
          <w:rFonts w:ascii="Calibri" w:hAnsi="Calibri" w:cs="Calibri"/>
          <w:b/>
          <w:bCs/>
          <w:lang w:val="pl-PL"/>
        </w:rPr>
        <w:t>Trener: Mirosław Ciołek Szkolenia Specjalistyczne</w:t>
      </w:r>
    </w:p>
    <w:p w14:paraId="6B189ADE" w14:textId="77777777" w:rsidR="000E120B" w:rsidRPr="00AA6AB0" w:rsidRDefault="000E120B" w:rsidP="000E120B">
      <w:pPr>
        <w:spacing w:line="276" w:lineRule="auto"/>
        <w:rPr>
          <w:rFonts w:ascii="Calibri" w:hAnsi="Calibri" w:cs="Calibri"/>
          <w:sz w:val="6"/>
          <w:szCs w:val="6"/>
          <w:lang w:val="pl-PL"/>
        </w:rPr>
      </w:pPr>
    </w:p>
    <w:p w14:paraId="29FA29E4" w14:textId="156EEFF9" w:rsidR="000E120B" w:rsidRPr="00A26F6C" w:rsidRDefault="000E120B" w:rsidP="000E120B">
      <w:pPr>
        <w:spacing w:line="276" w:lineRule="auto"/>
        <w:rPr>
          <w:rFonts w:ascii="Calibri" w:hAnsi="Calibri" w:cs="Calibri"/>
          <w:b/>
          <w:bCs/>
          <w:lang w:val="pl-PL"/>
        </w:rPr>
      </w:pPr>
      <w:r w:rsidRPr="00A26F6C">
        <w:rPr>
          <w:rFonts w:ascii="Calibri" w:hAnsi="Calibri" w:cs="Calibri"/>
          <w:b/>
          <w:bCs/>
          <w:lang w:val="pl-PL"/>
        </w:rPr>
        <w:t>Harmonogram:</w:t>
      </w:r>
    </w:p>
    <w:p w14:paraId="7D25D163" w14:textId="4D64D772" w:rsidR="000E120B" w:rsidRPr="00A26F6C" w:rsidRDefault="00B02457" w:rsidP="000E120B">
      <w:p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8</w:t>
      </w:r>
      <w:r w:rsidR="000E120B" w:rsidRPr="00A26F6C">
        <w:rPr>
          <w:rFonts w:ascii="Calibri" w:hAnsi="Calibri" w:cs="Calibri"/>
          <w:lang w:val="pl-PL"/>
        </w:rPr>
        <w:t>.</w:t>
      </w:r>
      <w:r w:rsidR="00861EE3">
        <w:rPr>
          <w:rFonts w:ascii="Calibri" w:hAnsi="Calibri" w:cs="Calibri"/>
          <w:lang w:val="pl-PL"/>
        </w:rPr>
        <w:t>0</w:t>
      </w:r>
      <w:r w:rsidR="000E120B" w:rsidRPr="00A26F6C">
        <w:rPr>
          <w:rFonts w:ascii="Calibri" w:hAnsi="Calibri" w:cs="Calibri"/>
          <w:lang w:val="pl-PL"/>
        </w:rPr>
        <w:t xml:space="preserve">0 rozpoczęcie szkolenia  </w:t>
      </w:r>
    </w:p>
    <w:p w14:paraId="2EDEC0B2" w14:textId="086359C0" w:rsidR="000E120B" w:rsidRPr="00A26F6C" w:rsidRDefault="00B02457" w:rsidP="000E120B">
      <w:p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8</w:t>
      </w:r>
      <w:r w:rsidR="000E120B" w:rsidRPr="00A26F6C">
        <w:rPr>
          <w:rFonts w:ascii="Calibri" w:hAnsi="Calibri" w:cs="Calibri"/>
          <w:lang w:val="pl-PL"/>
        </w:rPr>
        <w:t>.</w:t>
      </w:r>
      <w:r w:rsidR="00861EE3">
        <w:rPr>
          <w:rFonts w:ascii="Calibri" w:hAnsi="Calibri" w:cs="Calibri"/>
          <w:lang w:val="pl-PL"/>
        </w:rPr>
        <w:t>0</w:t>
      </w:r>
      <w:r w:rsidR="000E120B" w:rsidRPr="00A26F6C">
        <w:rPr>
          <w:rFonts w:ascii="Calibri" w:hAnsi="Calibri" w:cs="Calibri"/>
          <w:lang w:val="pl-PL"/>
        </w:rPr>
        <w:t>0-</w:t>
      </w:r>
      <w:r>
        <w:rPr>
          <w:rFonts w:ascii="Calibri" w:hAnsi="Calibri" w:cs="Calibri"/>
          <w:lang w:val="pl-PL"/>
        </w:rPr>
        <w:t>9.45</w:t>
      </w:r>
      <w:r w:rsidR="000E120B" w:rsidRPr="00A26F6C">
        <w:rPr>
          <w:rFonts w:ascii="Calibri" w:hAnsi="Calibri" w:cs="Calibri"/>
          <w:lang w:val="pl-PL"/>
        </w:rPr>
        <w:t xml:space="preserve">  cz. merytoryczna</w:t>
      </w:r>
    </w:p>
    <w:p w14:paraId="32933EB6" w14:textId="111F9A6E" w:rsidR="000E120B" w:rsidRPr="00A26F6C" w:rsidRDefault="00B02457" w:rsidP="000E120B">
      <w:pPr>
        <w:spacing w:line="276" w:lineRule="auto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9</w:t>
      </w:r>
      <w:r w:rsidR="000E120B" w:rsidRPr="00A26F6C">
        <w:rPr>
          <w:rFonts w:ascii="Calibri" w:hAnsi="Calibri" w:cs="Calibri"/>
          <w:lang w:val="pl-PL"/>
        </w:rPr>
        <w:t>.</w:t>
      </w:r>
      <w:r>
        <w:rPr>
          <w:rFonts w:ascii="Calibri" w:hAnsi="Calibri" w:cs="Calibri"/>
          <w:lang w:val="pl-PL"/>
        </w:rPr>
        <w:t>45</w:t>
      </w:r>
      <w:r w:rsidR="000E120B" w:rsidRPr="00A26F6C">
        <w:rPr>
          <w:rFonts w:ascii="Calibri" w:hAnsi="Calibri" w:cs="Calibri"/>
          <w:lang w:val="pl-PL"/>
        </w:rPr>
        <w:t>-10.</w:t>
      </w:r>
      <w:r>
        <w:rPr>
          <w:rFonts w:ascii="Calibri" w:hAnsi="Calibri" w:cs="Calibri"/>
          <w:lang w:val="pl-PL"/>
        </w:rPr>
        <w:t xml:space="preserve">00 </w:t>
      </w:r>
      <w:r w:rsidR="000E120B" w:rsidRPr="00A26F6C">
        <w:rPr>
          <w:rFonts w:ascii="Calibri" w:hAnsi="Calibri" w:cs="Calibri"/>
          <w:lang w:val="pl-PL"/>
        </w:rPr>
        <w:t>przerwa 15-minutowa</w:t>
      </w:r>
    </w:p>
    <w:p w14:paraId="55D9A1FC" w14:textId="475ECD51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10.</w:t>
      </w:r>
      <w:r w:rsidR="00B02457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>-12.</w:t>
      </w:r>
      <w:r w:rsidR="00B02457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 xml:space="preserve"> cz. merytoryczna</w:t>
      </w:r>
    </w:p>
    <w:p w14:paraId="19282088" w14:textId="424EBEF7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12.</w:t>
      </w:r>
      <w:r w:rsidR="00B02457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>-12.</w:t>
      </w:r>
      <w:r w:rsidR="00B02457">
        <w:rPr>
          <w:rFonts w:ascii="Calibri" w:hAnsi="Calibri" w:cs="Calibri"/>
          <w:lang w:val="pl-PL"/>
        </w:rPr>
        <w:t>15</w:t>
      </w:r>
      <w:r w:rsidRPr="00A26F6C">
        <w:rPr>
          <w:rFonts w:ascii="Calibri" w:hAnsi="Calibri" w:cs="Calibri"/>
          <w:lang w:val="pl-PL"/>
        </w:rPr>
        <w:t xml:space="preserve"> przerwa 15-minutowa</w:t>
      </w:r>
    </w:p>
    <w:p w14:paraId="3374CF08" w14:textId="5BDF7C2C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12.</w:t>
      </w:r>
      <w:r w:rsidR="00B02457">
        <w:rPr>
          <w:rFonts w:ascii="Calibri" w:hAnsi="Calibri" w:cs="Calibri"/>
          <w:lang w:val="pl-PL"/>
        </w:rPr>
        <w:t>15</w:t>
      </w:r>
      <w:r w:rsidRPr="00A26F6C">
        <w:rPr>
          <w:rFonts w:ascii="Calibri" w:hAnsi="Calibri" w:cs="Calibri"/>
          <w:lang w:val="pl-PL"/>
        </w:rPr>
        <w:t>-</w:t>
      </w:r>
      <w:r w:rsidR="00861EE3">
        <w:rPr>
          <w:rFonts w:ascii="Calibri" w:hAnsi="Calibri" w:cs="Calibri"/>
          <w:lang w:val="pl-PL"/>
        </w:rPr>
        <w:t>13.30</w:t>
      </w:r>
      <w:r w:rsidRPr="00A26F6C">
        <w:rPr>
          <w:rFonts w:ascii="Calibri" w:hAnsi="Calibri" w:cs="Calibri"/>
          <w:lang w:val="pl-PL"/>
        </w:rPr>
        <w:t xml:space="preserve"> cz. merytoryczna</w:t>
      </w:r>
    </w:p>
    <w:p w14:paraId="233746A4" w14:textId="58B10985" w:rsidR="000E120B" w:rsidRPr="00A26F6C" w:rsidRDefault="000E120B" w:rsidP="000E120B">
      <w:pPr>
        <w:spacing w:line="276" w:lineRule="auto"/>
        <w:rPr>
          <w:rFonts w:ascii="Calibri" w:hAnsi="Calibri" w:cs="Calibri"/>
          <w:lang w:val="pl-PL"/>
        </w:rPr>
      </w:pPr>
      <w:r w:rsidRPr="00A26F6C">
        <w:rPr>
          <w:rFonts w:ascii="Calibri" w:hAnsi="Calibri" w:cs="Calibri"/>
          <w:lang w:val="pl-PL"/>
        </w:rPr>
        <w:t>1</w:t>
      </w:r>
      <w:r w:rsidR="00861EE3">
        <w:rPr>
          <w:rFonts w:ascii="Calibri" w:hAnsi="Calibri" w:cs="Calibri"/>
          <w:lang w:val="pl-PL"/>
        </w:rPr>
        <w:t>3.30</w:t>
      </w:r>
      <w:r w:rsidRPr="00A26F6C">
        <w:rPr>
          <w:rFonts w:ascii="Calibri" w:hAnsi="Calibri" w:cs="Calibri"/>
          <w:lang w:val="pl-PL"/>
        </w:rPr>
        <w:t>-14.</w:t>
      </w:r>
      <w:r w:rsidR="00861EE3">
        <w:rPr>
          <w:rFonts w:ascii="Calibri" w:hAnsi="Calibri" w:cs="Calibri"/>
          <w:lang w:val="pl-PL"/>
        </w:rPr>
        <w:t>00</w:t>
      </w:r>
      <w:r w:rsidRPr="00A26F6C">
        <w:rPr>
          <w:rFonts w:ascii="Calibri" w:hAnsi="Calibri" w:cs="Calibri"/>
          <w:lang w:val="pl-PL"/>
        </w:rPr>
        <w:t xml:space="preserve"> ankieta ewaluacyjna, blok przeznaczony na indywidualne pytania uczestników</w:t>
      </w:r>
    </w:p>
    <w:p w14:paraId="1A9DC82A" w14:textId="77777777" w:rsidR="000E120B" w:rsidRPr="00AA6AB0" w:rsidRDefault="000E120B" w:rsidP="000E120B">
      <w:pPr>
        <w:spacing w:line="276" w:lineRule="auto"/>
        <w:rPr>
          <w:rFonts w:ascii="Calibri" w:hAnsi="Calibri" w:cs="Calibri"/>
          <w:sz w:val="6"/>
          <w:szCs w:val="6"/>
          <w:lang w:val="pl-PL"/>
        </w:rPr>
      </w:pPr>
    </w:p>
    <w:p w14:paraId="176197D6" w14:textId="638A3424" w:rsidR="00861EE3" w:rsidRPr="007819EC" w:rsidRDefault="00861EE3" w:rsidP="00861EE3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t>1.</w:t>
      </w:r>
      <w:r w:rsidRPr="007819EC">
        <w:rPr>
          <w:b/>
          <w:bCs/>
          <w:lang w:val="pl-PL"/>
        </w:rPr>
        <w:t xml:space="preserve"> </w:t>
      </w:r>
      <w:r w:rsidRPr="007819EC">
        <w:rPr>
          <w:b/>
          <w:bCs/>
          <w:lang w:val="pl-PL"/>
        </w:rPr>
        <w:t>Wprowadzenie do tematu zamówień publicznych</w:t>
      </w:r>
    </w:p>
    <w:p w14:paraId="2F8F0314" w14:textId="266EEF0E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a)</w:t>
      </w:r>
      <w:r>
        <w:rPr>
          <w:lang w:val="pl-PL"/>
        </w:rPr>
        <w:t xml:space="preserve"> </w:t>
      </w:r>
      <w:r w:rsidRPr="00861EE3">
        <w:rPr>
          <w:lang w:val="pl-PL"/>
        </w:rPr>
        <w:t>Czym są zamówienia publiczne oraz kto może wziąć udział w postępowaniu o udzielenie zamówienia publicznego, zasady udzielania zamówień publicznych,</w:t>
      </w:r>
    </w:p>
    <w:p w14:paraId="729A7836" w14:textId="0AF773B5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b)</w:t>
      </w:r>
      <w:r>
        <w:rPr>
          <w:lang w:val="pl-PL"/>
        </w:rPr>
        <w:t xml:space="preserve"> </w:t>
      </w:r>
      <w:r w:rsidRPr="00861EE3">
        <w:rPr>
          <w:lang w:val="pl-PL"/>
        </w:rPr>
        <w:t>Progi: Zamówienia poniżej progów UE a powyżej 130 000 PLN, zamówienia powyżej progów UE,</w:t>
      </w:r>
    </w:p>
    <w:p w14:paraId="20930373" w14:textId="7982ECF3" w:rsid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c)</w:t>
      </w:r>
      <w:r>
        <w:rPr>
          <w:lang w:val="pl-PL"/>
        </w:rPr>
        <w:t xml:space="preserve"> </w:t>
      </w:r>
      <w:r w:rsidRPr="00861EE3">
        <w:rPr>
          <w:lang w:val="pl-PL"/>
        </w:rPr>
        <w:t>Ogłoszenia postępowań o zamówienia publiczne: gdzie szukać ogłoszeń o zamówieniach publicznych, analiza przykładowego ogłoszenia.</w:t>
      </w:r>
    </w:p>
    <w:p w14:paraId="439E348C" w14:textId="2EC91F4A" w:rsidR="00861EE3" w:rsidRPr="007819EC" w:rsidRDefault="00861EE3" w:rsidP="00861EE3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t>2.Przygotowanie do prowadzenia postępowania</w:t>
      </w:r>
    </w:p>
    <w:p w14:paraId="2C61D2BE" w14:textId="558CBCD0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a)</w:t>
      </w:r>
      <w:r>
        <w:rPr>
          <w:lang w:val="pl-PL"/>
        </w:rPr>
        <w:t xml:space="preserve"> </w:t>
      </w:r>
      <w:r w:rsidRPr="00861EE3">
        <w:rPr>
          <w:lang w:val="pl-PL"/>
        </w:rPr>
        <w:t>Specyfikacja Warunków Zamówienia (zawartość SWZ – elementy obligatoryjne i fakultatywne, miejsce, sposób i ramy czasowe udostępniania SWZ; wyjaśnianie treści SWZ; zmiana treści SWZ i jej konsekwencje),</w:t>
      </w:r>
    </w:p>
    <w:p w14:paraId="5893CEB5" w14:textId="5CE982A3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b)</w:t>
      </w:r>
      <w:r>
        <w:rPr>
          <w:lang w:val="pl-PL"/>
        </w:rPr>
        <w:t xml:space="preserve"> </w:t>
      </w:r>
      <w:r w:rsidRPr="00861EE3">
        <w:rPr>
          <w:lang w:val="pl-PL"/>
        </w:rPr>
        <w:t>Szacowanie wartości zamówienia – praktyczne omówienie zasad ustalania wartości zamówienia, tożsamość przedmiotowa, podmiotowa i czasowa, obowiązek szacowania w celu wyboru odpowiedniej procedury udzielenie zamówienia,</w:t>
      </w:r>
    </w:p>
    <w:p w14:paraId="48008684" w14:textId="3940E3FB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c)Opis przedmiotu zamówienia i termin wykonania zamówienia: sposób sporządzania opisu, opis a dokumenty niezbędne do realizacji zamówienia, wizja lokalna, zastrzeganie obowiązku wykonywania kluczowych zadań, przedmiotowe środki dowodowe,</w:t>
      </w:r>
    </w:p>
    <w:p w14:paraId="32EF942B" w14:textId="0976ED0D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d)Projektowane postanowienie umowy,</w:t>
      </w:r>
    </w:p>
    <w:p w14:paraId="193A4CB0" w14:textId="3270CF89" w:rsid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e)Zamówienia udzielane w częściach a składowe ofert częściowych.</w:t>
      </w:r>
    </w:p>
    <w:p w14:paraId="53B453A7" w14:textId="3B867F15" w:rsidR="00861EE3" w:rsidRPr="007819EC" w:rsidRDefault="00861EE3" w:rsidP="00861EE3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lastRenderedPageBreak/>
        <w:t>3.</w:t>
      </w:r>
      <w:r w:rsidR="007819EC" w:rsidRPr="007819EC">
        <w:rPr>
          <w:b/>
          <w:bCs/>
          <w:lang w:val="pl-PL"/>
        </w:rPr>
        <w:t xml:space="preserve"> </w:t>
      </w:r>
      <w:r w:rsidRPr="007819EC">
        <w:rPr>
          <w:b/>
          <w:bCs/>
          <w:lang w:val="pl-PL"/>
        </w:rPr>
        <w:t>Przygotowanie i złożenie oferty</w:t>
      </w:r>
    </w:p>
    <w:p w14:paraId="5CABA728" w14:textId="182552C7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a)</w:t>
      </w:r>
      <w:r w:rsidR="007819EC">
        <w:rPr>
          <w:lang w:val="pl-PL"/>
        </w:rPr>
        <w:t xml:space="preserve"> </w:t>
      </w:r>
      <w:r w:rsidRPr="00861EE3">
        <w:rPr>
          <w:lang w:val="pl-PL"/>
        </w:rPr>
        <w:t>Spełnienie warunków określonych w dokumentacji postępowania, przedmiotowe środki dowodowe,</w:t>
      </w:r>
    </w:p>
    <w:p w14:paraId="56E5F936" w14:textId="7D59C5E5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b)</w:t>
      </w:r>
      <w:r w:rsidR="007819EC">
        <w:rPr>
          <w:lang w:val="pl-PL"/>
        </w:rPr>
        <w:t xml:space="preserve"> </w:t>
      </w:r>
      <w:r w:rsidRPr="00861EE3">
        <w:rPr>
          <w:lang w:val="pl-PL"/>
        </w:rPr>
        <w:t>Zebranie niezbędnych informacji do wyceny zamówienia,</w:t>
      </w:r>
    </w:p>
    <w:p w14:paraId="69B23E8C" w14:textId="6C5B5F59" w:rsidR="00861EE3" w:rsidRPr="00861EE3" w:rsidRDefault="00861EE3" w:rsidP="00861EE3">
      <w:pPr>
        <w:spacing w:before="120" w:line="276" w:lineRule="auto"/>
        <w:ind w:right="-307"/>
        <w:rPr>
          <w:lang w:val="pl-PL"/>
        </w:rPr>
      </w:pPr>
      <w:r w:rsidRPr="00861EE3">
        <w:rPr>
          <w:lang w:val="pl-PL"/>
        </w:rPr>
        <w:t>c)</w:t>
      </w:r>
      <w:r w:rsidR="007819EC">
        <w:rPr>
          <w:lang w:val="pl-PL"/>
        </w:rPr>
        <w:t xml:space="preserve">  </w:t>
      </w:r>
      <w:r w:rsidRPr="00861EE3">
        <w:rPr>
          <w:lang w:val="pl-PL"/>
        </w:rPr>
        <w:t>Złożeni</w:t>
      </w:r>
      <w:r w:rsidR="007819EC">
        <w:rPr>
          <w:lang w:val="pl-PL"/>
        </w:rPr>
        <w:t>e</w:t>
      </w:r>
      <w:r w:rsidRPr="00861EE3">
        <w:rPr>
          <w:lang w:val="pl-PL"/>
        </w:rPr>
        <w:t xml:space="preserve"> oferty w postępowaniu i termin związania ofertą.</w:t>
      </w:r>
    </w:p>
    <w:p w14:paraId="23A556A0" w14:textId="7F56CE79" w:rsidR="007819EC" w:rsidRPr="007819EC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7819EC">
        <w:rPr>
          <w:b/>
          <w:bCs/>
          <w:lang w:val="pl-PL"/>
        </w:rPr>
        <w:t>4.</w:t>
      </w:r>
      <w:r w:rsidRPr="007819EC">
        <w:rPr>
          <w:b/>
          <w:bCs/>
          <w:lang w:val="pl-PL"/>
        </w:rPr>
        <w:t xml:space="preserve"> </w:t>
      </w:r>
      <w:r w:rsidRPr="007819EC">
        <w:rPr>
          <w:b/>
          <w:bCs/>
          <w:lang w:val="pl-PL"/>
        </w:rPr>
        <w:t>Otwarcie ofert i wybór najkorzystniejszej oferty</w:t>
      </w:r>
    </w:p>
    <w:p w14:paraId="230B46BF" w14:textId="057904A7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a)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Otwarcie ofert, kryteria oceny ofert i ich wagi,</w:t>
      </w:r>
    </w:p>
    <w:p w14:paraId="2CE48473" w14:textId="34073456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b)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Badanie i ocena ofert, badanie rażąco niskiej ceny,</w:t>
      </w:r>
    </w:p>
    <w:p w14:paraId="59C5A0F7" w14:textId="39309A95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c)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Wybór najkorzystniejszej oferty,</w:t>
      </w:r>
    </w:p>
    <w:p w14:paraId="27A60CB6" w14:textId="5D460CFD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d)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Podstawy wykluczenia o charakterze obligatoryjny i fakultatywnym,</w:t>
      </w:r>
    </w:p>
    <w:p w14:paraId="16E296FA" w14:textId="022DEDF8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e)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Przesłanki wykluczenia z postępowania, odrzucenia oferty,</w:t>
      </w:r>
    </w:p>
    <w:p w14:paraId="191C3E52" w14:textId="540D711A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f)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Udostepnienie zasobów, tajemnica przedsiębiorstwa (ocena, uzasadnienie),</w:t>
      </w:r>
    </w:p>
    <w:p w14:paraId="7ACB6376" w14:textId="25FDA424" w:rsid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g)</w:t>
      </w:r>
      <w:r w:rsidR="00FF192B">
        <w:rPr>
          <w:lang w:val="pl-PL"/>
        </w:rPr>
        <w:t xml:space="preserve"> </w:t>
      </w:r>
      <w:r w:rsidRPr="007819EC">
        <w:rPr>
          <w:lang w:val="pl-PL"/>
        </w:rPr>
        <w:t>Kary umowne.</w:t>
      </w:r>
    </w:p>
    <w:p w14:paraId="6E537C2F" w14:textId="17D6D7B4" w:rsidR="007819EC" w:rsidRPr="00FF192B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FF192B">
        <w:rPr>
          <w:b/>
          <w:bCs/>
          <w:lang w:val="pl-PL"/>
        </w:rPr>
        <w:t>5.</w:t>
      </w:r>
      <w:r w:rsidR="00FF192B" w:rsidRPr="00FF192B">
        <w:rPr>
          <w:b/>
          <w:bCs/>
          <w:lang w:val="pl-PL"/>
        </w:rPr>
        <w:t xml:space="preserve"> </w:t>
      </w:r>
      <w:r w:rsidRPr="00FF192B">
        <w:rPr>
          <w:b/>
          <w:bCs/>
          <w:lang w:val="pl-PL"/>
        </w:rPr>
        <w:t>Umowa o zamówienie publiczne</w:t>
      </w:r>
    </w:p>
    <w:p w14:paraId="30F4724C" w14:textId="073A84CA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714AE">
        <w:rPr>
          <w:lang w:val="pl-PL"/>
        </w:rPr>
        <w:t>a)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Podpisanie umowy: formy, sposoby i zasady zawarcia umowy,</w:t>
      </w:r>
    </w:p>
    <w:p w14:paraId="009EE923" w14:textId="367B4B8B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b)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Obligatoryjne i fakultatywne elementy umowy,</w:t>
      </w:r>
    </w:p>
    <w:p w14:paraId="3F6BEEB1" w14:textId="37EF5292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c)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Okres realizacji umowy,</w:t>
      </w:r>
    </w:p>
    <w:p w14:paraId="5BCC437E" w14:textId="6604C6FA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d)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Zmiana treści umowy, czy można ją zmieniać w trakcie jej trwania,</w:t>
      </w:r>
    </w:p>
    <w:p w14:paraId="0A9DD331" w14:textId="539E6CFD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e)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Zakończenie umowy, odstąpienie od umowy,</w:t>
      </w:r>
    </w:p>
    <w:p w14:paraId="3342D900" w14:textId="391DDE3B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f)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Kary umowne,</w:t>
      </w:r>
    </w:p>
    <w:p w14:paraId="558BD920" w14:textId="2F1F868E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g)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Wzorcowe zapisy umów wynikające z nowej ustawy PZP,</w:t>
      </w:r>
    </w:p>
    <w:p w14:paraId="6047360E" w14:textId="44E9B35C" w:rsidR="007819EC" w:rsidRPr="007819EC" w:rsidRDefault="007819EC" w:rsidP="007819EC">
      <w:pPr>
        <w:spacing w:before="120" w:line="276" w:lineRule="auto"/>
        <w:ind w:right="-307"/>
        <w:rPr>
          <w:lang w:val="pl-PL"/>
        </w:rPr>
      </w:pPr>
      <w:r w:rsidRPr="007819EC">
        <w:rPr>
          <w:lang w:val="pl-PL"/>
        </w:rPr>
        <w:t>h)</w:t>
      </w:r>
      <w:r w:rsidR="007714AE">
        <w:rPr>
          <w:lang w:val="pl-PL"/>
        </w:rPr>
        <w:t xml:space="preserve"> </w:t>
      </w:r>
      <w:r w:rsidRPr="007819EC">
        <w:rPr>
          <w:lang w:val="pl-PL"/>
        </w:rPr>
        <w:t>Rejestry umów zawartych przez jednostki sektora finansów publicznych.</w:t>
      </w:r>
    </w:p>
    <w:p w14:paraId="1FE97C63" w14:textId="690C5510" w:rsidR="007819EC" w:rsidRPr="007714AE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6.</w:t>
      </w:r>
      <w:r w:rsidR="007714AE" w:rsidRPr="007714AE">
        <w:rPr>
          <w:b/>
          <w:bCs/>
          <w:lang w:val="pl-PL"/>
        </w:rPr>
        <w:t xml:space="preserve"> </w:t>
      </w:r>
      <w:r w:rsidRPr="007714AE">
        <w:rPr>
          <w:b/>
          <w:bCs/>
          <w:lang w:val="pl-PL"/>
        </w:rPr>
        <w:t>Unieważnienie postępowania</w:t>
      </w:r>
    </w:p>
    <w:p w14:paraId="42213EF0" w14:textId="378FC944" w:rsidR="007819EC" w:rsidRPr="007714AE" w:rsidRDefault="007819EC" w:rsidP="007819EC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7.</w:t>
      </w:r>
      <w:r w:rsidR="007714AE" w:rsidRPr="007714AE">
        <w:rPr>
          <w:b/>
          <w:bCs/>
          <w:lang w:val="pl-PL"/>
        </w:rPr>
        <w:t xml:space="preserve"> </w:t>
      </w:r>
      <w:r w:rsidRPr="007714AE">
        <w:rPr>
          <w:b/>
          <w:bCs/>
          <w:lang w:val="pl-PL"/>
        </w:rPr>
        <w:t>Konsekwencje nieprawidłowo przeprowadzonych postępowań, omówienie najczęściej powtarzających się nieprawidłowości przy udzielaniu zamówień publicznych skutkujących nałożeniem korekt finansowych.</w:t>
      </w:r>
    </w:p>
    <w:p w14:paraId="1B9F60AC" w14:textId="6C70C12A" w:rsidR="007714AE" w:rsidRPr="007714AE" w:rsidRDefault="007714AE" w:rsidP="007819EC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8. Podpisy elektroniczne</w:t>
      </w:r>
    </w:p>
    <w:p w14:paraId="7E77BD7B" w14:textId="7B67B010" w:rsidR="00B307B8" w:rsidRPr="007714AE" w:rsidRDefault="007714AE" w:rsidP="00B02457">
      <w:pPr>
        <w:spacing w:before="120" w:line="276" w:lineRule="auto"/>
        <w:ind w:right="-307"/>
        <w:rPr>
          <w:b/>
          <w:bCs/>
          <w:lang w:val="pl-PL"/>
        </w:rPr>
      </w:pPr>
      <w:r w:rsidRPr="007714AE">
        <w:rPr>
          <w:b/>
          <w:bCs/>
          <w:lang w:val="pl-PL"/>
        </w:rPr>
        <w:t>9.</w:t>
      </w:r>
      <w:r w:rsidR="00B02457" w:rsidRPr="007714AE">
        <w:rPr>
          <w:b/>
          <w:bCs/>
          <w:lang w:val="pl-PL"/>
        </w:rPr>
        <w:t xml:space="preserve"> </w:t>
      </w:r>
      <w:r w:rsidR="00AA6AB0" w:rsidRPr="007714AE">
        <w:rPr>
          <w:rFonts w:ascii="Calibri" w:hAnsi="Calibri" w:cs="Calibri"/>
          <w:b/>
          <w:bCs/>
          <w:lang w:val="pl-PL"/>
        </w:rPr>
        <w:t>Ankieta ewaluacyjna, s</w:t>
      </w:r>
      <w:r w:rsidR="000E120B" w:rsidRPr="007714AE">
        <w:rPr>
          <w:rFonts w:ascii="Calibri" w:hAnsi="Calibri" w:cs="Calibri"/>
          <w:b/>
          <w:bCs/>
          <w:lang w:val="pl-PL"/>
        </w:rPr>
        <w:t>esja pytań i odpowiedzi, dyskusja.</w:t>
      </w:r>
      <w:bookmarkEnd w:id="1"/>
    </w:p>
    <w:sectPr w:rsidR="00B307B8" w:rsidRPr="007714AE" w:rsidSect="001631DF">
      <w:headerReference w:type="default" r:id="rId8"/>
      <w:footerReference w:type="default" r:id="rId9"/>
      <w:pgSz w:w="11906" w:h="16838"/>
      <w:pgMar w:top="-172" w:right="720" w:bottom="720" w:left="720" w:header="14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58DC" w14:textId="77777777" w:rsidR="00A02B5E" w:rsidRDefault="00A02B5E" w:rsidP="001631DF">
      <w:r>
        <w:separator/>
      </w:r>
    </w:p>
  </w:endnote>
  <w:endnote w:type="continuationSeparator" w:id="0">
    <w:p w14:paraId="2F1A4252" w14:textId="77777777" w:rsidR="00A02B5E" w:rsidRDefault="00A02B5E" w:rsidP="0016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BCB4" w14:textId="26F61B2E" w:rsidR="001631DF" w:rsidRDefault="001631DF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FE829" wp14:editId="4275507E">
          <wp:simplePos x="0" y="0"/>
          <wp:positionH relativeFrom="page">
            <wp:align>left</wp:align>
          </wp:positionH>
          <wp:positionV relativeFrom="page">
            <wp:posOffset>9612991</wp:posOffset>
          </wp:positionV>
          <wp:extent cx="7552706" cy="1076460"/>
          <wp:effectExtent l="0" t="0" r="0" b="952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07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3F53" w14:textId="77777777" w:rsidR="00A02B5E" w:rsidRDefault="00A02B5E" w:rsidP="001631DF">
      <w:r>
        <w:separator/>
      </w:r>
    </w:p>
  </w:footnote>
  <w:footnote w:type="continuationSeparator" w:id="0">
    <w:p w14:paraId="20BBBDCF" w14:textId="77777777" w:rsidR="00A02B5E" w:rsidRDefault="00A02B5E" w:rsidP="0016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F056" w14:textId="6ED634DD" w:rsidR="001631DF" w:rsidRDefault="001631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AEC6CA" wp14:editId="115EEF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142" cy="99159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468" cy="101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4C4E"/>
    <w:multiLevelType w:val="hybridMultilevel"/>
    <w:tmpl w:val="A89CF4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930E88"/>
    <w:multiLevelType w:val="hybridMultilevel"/>
    <w:tmpl w:val="F37698DA"/>
    <w:lvl w:ilvl="0" w:tplc="5D480D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20C0D"/>
    <w:multiLevelType w:val="hybridMultilevel"/>
    <w:tmpl w:val="15608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1866">
    <w:abstractNumId w:val="0"/>
  </w:num>
  <w:num w:numId="2" w16cid:durableId="276259255">
    <w:abstractNumId w:val="2"/>
  </w:num>
  <w:num w:numId="3" w16cid:durableId="176136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DF"/>
    <w:rsid w:val="00027AE0"/>
    <w:rsid w:val="000E120B"/>
    <w:rsid w:val="00102C2B"/>
    <w:rsid w:val="001631DF"/>
    <w:rsid w:val="003216E3"/>
    <w:rsid w:val="003400C6"/>
    <w:rsid w:val="003E2662"/>
    <w:rsid w:val="0048233B"/>
    <w:rsid w:val="00495827"/>
    <w:rsid w:val="004B53D6"/>
    <w:rsid w:val="004E6796"/>
    <w:rsid w:val="00557577"/>
    <w:rsid w:val="00583B67"/>
    <w:rsid w:val="00597E50"/>
    <w:rsid w:val="00735710"/>
    <w:rsid w:val="00763BE9"/>
    <w:rsid w:val="007714AE"/>
    <w:rsid w:val="007819EC"/>
    <w:rsid w:val="007B2066"/>
    <w:rsid w:val="007F01F4"/>
    <w:rsid w:val="00861EE3"/>
    <w:rsid w:val="008E3861"/>
    <w:rsid w:val="009C6D5D"/>
    <w:rsid w:val="009F003F"/>
    <w:rsid w:val="00A02B5E"/>
    <w:rsid w:val="00A25461"/>
    <w:rsid w:val="00A26F6C"/>
    <w:rsid w:val="00A72F39"/>
    <w:rsid w:val="00AA6AB0"/>
    <w:rsid w:val="00AC37E2"/>
    <w:rsid w:val="00B02457"/>
    <w:rsid w:val="00B307B8"/>
    <w:rsid w:val="00B54E0D"/>
    <w:rsid w:val="00BC2A91"/>
    <w:rsid w:val="00BF05F1"/>
    <w:rsid w:val="00C23D16"/>
    <w:rsid w:val="00C62AFD"/>
    <w:rsid w:val="00C718DE"/>
    <w:rsid w:val="00D36DCE"/>
    <w:rsid w:val="00D45B66"/>
    <w:rsid w:val="00D502A3"/>
    <w:rsid w:val="00DF3A58"/>
    <w:rsid w:val="00E0552B"/>
    <w:rsid w:val="00E11B5F"/>
    <w:rsid w:val="00F018EC"/>
    <w:rsid w:val="00F10270"/>
    <w:rsid w:val="00F513D6"/>
    <w:rsid w:val="00F55237"/>
    <w:rsid w:val="00F62D33"/>
    <w:rsid w:val="00FA0812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D105F"/>
  <w15:chartTrackingRefBased/>
  <w15:docId w15:val="{AD1BEF5A-93B7-4BE3-9CEC-37F1E8D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50"/>
    <w:pPr>
      <w:spacing w:after="0" w:line="240" w:lineRule="auto"/>
    </w:pPr>
    <w:rPr>
      <w:rFonts w:eastAsiaTheme="minorEastAsia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1DF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31DF"/>
  </w:style>
  <w:style w:type="paragraph" w:styleId="Stopka">
    <w:name w:val="footer"/>
    <w:basedOn w:val="Normalny"/>
    <w:link w:val="StopkaZnak"/>
    <w:uiPriority w:val="99"/>
    <w:unhideWhenUsed/>
    <w:rsid w:val="001631DF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31DF"/>
  </w:style>
  <w:style w:type="paragraph" w:customStyle="1" w:styleId="TEKSTGIEDA">
    <w:name w:val="TEKST_GIEŁDA"/>
    <w:basedOn w:val="Normalny"/>
    <w:qFormat/>
    <w:rsid w:val="00597E50"/>
    <w:pPr>
      <w:ind w:left="170" w:right="170"/>
    </w:pPr>
    <w:rPr>
      <w:rFonts w:ascii="Open Sans" w:hAnsi="Open Sans"/>
      <w:color w:val="192041"/>
      <w:lang w:val="pl-PL"/>
    </w:rPr>
  </w:style>
  <w:style w:type="table" w:styleId="Tabela-Siatka">
    <w:name w:val="Table Grid"/>
    <w:basedOn w:val="Standardowy"/>
    <w:uiPriority w:val="59"/>
    <w:rsid w:val="00597E50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B307B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B307B8"/>
  </w:style>
  <w:style w:type="character" w:styleId="Odwoaniedokomentarza">
    <w:name w:val="annotation reference"/>
    <w:basedOn w:val="Domylnaczcionkaakapitu"/>
    <w:uiPriority w:val="99"/>
    <w:semiHidden/>
    <w:unhideWhenUsed/>
    <w:rsid w:val="00AA6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AB0"/>
    <w:rPr>
      <w:rFonts w:eastAsiaTheme="minorEastAsia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AB0"/>
    <w:rPr>
      <w:rFonts w:eastAsiaTheme="minorEastAsia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Ciołek</dc:creator>
  <cp:keywords/>
  <dc:description/>
  <cp:lastModifiedBy>Mirosław Ciołek</cp:lastModifiedBy>
  <cp:revision>21</cp:revision>
  <dcterms:created xsi:type="dcterms:W3CDTF">2021-03-21T19:23:00Z</dcterms:created>
  <dcterms:modified xsi:type="dcterms:W3CDTF">2025-01-06T16:25:00Z</dcterms:modified>
</cp:coreProperties>
</file>