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1070" w14:textId="77777777" w:rsidR="00B10145" w:rsidRDefault="00B10145" w:rsidP="000A6873"/>
    <w:p w14:paraId="62903D49" w14:textId="386D1EBD" w:rsidR="00961E74" w:rsidRPr="003F4607" w:rsidRDefault="00961E74" w:rsidP="000A6873">
      <w:pPr>
        <w:rPr>
          <w:rFonts w:cstheme="minorHAnsi"/>
        </w:rPr>
      </w:pPr>
      <w:r w:rsidRPr="003F4607">
        <w:rPr>
          <w:rFonts w:cstheme="minorHAnsi"/>
        </w:rPr>
        <w:t xml:space="preserve">Białystok, </w:t>
      </w:r>
      <w:r w:rsidR="00AC2C1A" w:rsidRPr="003F4607">
        <w:rPr>
          <w:rFonts w:cstheme="minorHAnsi"/>
        </w:rPr>
        <w:t>2</w:t>
      </w:r>
      <w:r w:rsidR="00DF3A48">
        <w:rPr>
          <w:rFonts w:cstheme="minorHAnsi"/>
        </w:rPr>
        <w:t>7</w:t>
      </w:r>
      <w:r w:rsidR="00AC2C1A" w:rsidRPr="003F4607">
        <w:rPr>
          <w:rFonts w:cstheme="minorHAnsi"/>
        </w:rPr>
        <w:t xml:space="preserve"> </w:t>
      </w:r>
      <w:r w:rsidR="00D631DE" w:rsidRPr="003F4607">
        <w:rPr>
          <w:rFonts w:cstheme="minorHAnsi"/>
        </w:rPr>
        <w:t>listopada</w:t>
      </w:r>
      <w:r w:rsidRPr="003F4607">
        <w:rPr>
          <w:rFonts w:cstheme="minorHAnsi"/>
        </w:rPr>
        <w:t xml:space="preserve"> 202</w:t>
      </w:r>
      <w:r w:rsidR="00570AD7" w:rsidRPr="003F4607">
        <w:rPr>
          <w:rFonts w:cstheme="minorHAnsi"/>
        </w:rPr>
        <w:t>4</w:t>
      </w:r>
      <w:r w:rsidRPr="003F4607">
        <w:rPr>
          <w:rFonts w:cstheme="minorHAnsi"/>
        </w:rPr>
        <w:t xml:space="preserve"> r</w:t>
      </w:r>
      <w:r w:rsidR="008503AA" w:rsidRPr="003F4607">
        <w:rPr>
          <w:rFonts w:cstheme="minorHAnsi"/>
        </w:rPr>
        <w:t>.</w:t>
      </w:r>
    </w:p>
    <w:p w14:paraId="5A8832CB" w14:textId="6DE379F3" w:rsidR="008503AA" w:rsidRPr="003F4607" w:rsidRDefault="008503AA" w:rsidP="008503AA">
      <w:pPr>
        <w:rPr>
          <w:rFonts w:cstheme="minorHAnsi"/>
        </w:rPr>
      </w:pPr>
      <w:r w:rsidRPr="003F4607">
        <w:rPr>
          <w:rFonts w:cstheme="minorHAnsi"/>
        </w:rPr>
        <w:t>EFS-V.432.</w:t>
      </w:r>
      <w:r w:rsidR="00D631DE" w:rsidRPr="003F4607">
        <w:rPr>
          <w:rFonts w:cstheme="minorHAnsi"/>
        </w:rPr>
        <w:t>14</w:t>
      </w:r>
      <w:r w:rsidRPr="003F4607">
        <w:rPr>
          <w:rFonts w:cstheme="minorHAnsi"/>
        </w:rPr>
        <w:t>.1.2024.</w:t>
      </w:r>
      <w:r w:rsidR="00D631DE" w:rsidRPr="003F4607">
        <w:rPr>
          <w:rFonts w:cstheme="minorHAnsi"/>
        </w:rPr>
        <w:t>IZ</w:t>
      </w:r>
    </w:p>
    <w:p w14:paraId="55A502A8" w14:textId="77777777" w:rsidR="008503AA" w:rsidRPr="003F4607" w:rsidRDefault="008503AA" w:rsidP="008503AA">
      <w:pPr>
        <w:rPr>
          <w:rFonts w:cstheme="minorHAnsi"/>
        </w:rPr>
      </w:pPr>
    </w:p>
    <w:p w14:paraId="049D5C67" w14:textId="20AAE060" w:rsidR="008503AA" w:rsidRPr="003F4607" w:rsidRDefault="008503AA" w:rsidP="00B10145">
      <w:pPr>
        <w:tabs>
          <w:tab w:val="left" w:pos="3261"/>
        </w:tabs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 xml:space="preserve">Komunikat nr </w:t>
      </w:r>
      <w:r w:rsidR="00D631DE" w:rsidRPr="003F4607">
        <w:rPr>
          <w:rFonts w:cstheme="minorHAnsi"/>
          <w:b/>
          <w:bCs/>
        </w:rPr>
        <w:t>1</w:t>
      </w:r>
      <w:r w:rsidR="00D10C0B" w:rsidRPr="003F4607">
        <w:rPr>
          <w:rFonts w:cstheme="minorHAnsi"/>
          <w:b/>
          <w:bCs/>
        </w:rPr>
        <w:br/>
      </w:r>
      <w:r w:rsidRPr="003F4607">
        <w:rPr>
          <w:rFonts w:cstheme="minorHAnsi"/>
          <w:b/>
          <w:bCs/>
        </w:rPr>
        <w:t>dotyczący naboru nr FEPD.08.0</w:t>
      </w:r>
      <w:r w:rsidR="00D631DE" w:rsidRPr="003F4607">
        <w:rPr>
          <w:rFonts w:cstheme="minorHAnsi"/>
          <w:b/>
          <w:bCs/>
        </w:rPr>
        <w:t>5</w:t>
      </w:r>
      <w:r w:rsidRPr="003F4607">
        <w:rPr>
          <w:rFonts w:cstheme="minorHAnsi"/>
          <w:b/>
          <w:bCs/>
        </w:rPr>
        <w:t>-IZ.00-00</w:t>
      </w:r>
      <w:r w:rsidR="00D631DE" w:rsidRPr="003F4607">
        <w:rPr>
          <w:rFonts w:cstheme="minorHAnsi"/>
          <w:b/>
          <w:bCs/>
        </w:rPr>
        <w:t>2</w:t>
      </w:r>
      <w:r w:rsidRPr="003F4607">
        <w:rPr>
          <w:rFonts w:cstheme="minorHAnsi"/>
          <w:b/>
          <w:bCs/>
        </w:rPr>
        <w:t>/24</w:t>
      </w:r>
      <w:r w:rsidR="00312C52" w:rsidRPr="003F4607">
        <w:rPr>
          <w:rFonts w:cstheme="minorHAnsi"/>
          <w:b/>
          <w:bCs/>
        </w:rPr>
        <w:t xml:space="preserve"> </w:t>
      </w:r>
      <w:r w:rsidR="00312C52" w:rsidRPr="003F4607">
        <w:rPr>
          <w:rFonts w:cstheme="minorHAnsi"/>
          <w:b/>
          <w:bCs/>
        </w:rPr>
        <w:br/>
      </w:r>
      <w:r w:rsidRPr="003F4607">
        <w:rPr>
          <w:rFonts w:cstheme="minorHAnsi"/>
          <w:b/>
          <w:bCs/>
        </w:rPr>
        <w:t xml:space="preserve">w ramach Działania 8.4 </w:t>
      </w:r>
      <w:r w:rsidR="00D631DE" w:rsidRPr="003F4607">
        <w:rPr>
          <w:rFonts w:eastAsia="Times New Roman" w:cstheme="minorHAnsi"/>
          <w:b/>
          <w:bCs/>
          <w:color w:val="000000"/>
          <w:kern w:val="0"/>
          <w:lang w:eastAsia="pl-PL"/>
        </w:rPr>
        <w:t>Wzmocnienie aktywnej integracji społecznej</w:t>
      </w:r>
      <w:r w:rsidR="00312C52" w:rsidRPr="003F4607">
        <w:rPr>
          <w:rFonts w:cstheme="minorHAnsi"/>
          <w:b/>
          <w:bCs/>
        </w:rPr>
        <w:br/>
      </w:r>
      <w:r w:rsidRPr="003F4607">
        <w:rPr>
          <w:rFonts w:cstheme="minorHAnsi"/>
          <w:b/>
          <w:bCs/>
        </w:rPr>
        <w:t>programu Fundusze Europejskie dla Podlaskiego 2021-2027</w:t>
      </w:r>
    </w:p>
    <w:p w14:paraId="23EE89BA" w14:textId="77777777" w:rsidR="008503AA" w:rsidRPr="003F4607" w:rsidRDefault="008503AA" w:rsidP="008503AA">
      <w:pPr>
        <w:rPr>
          <w:rFonts w:cstheme="minorHAnsi"/>
        </w:rPr>
      </w:pPr>
    </w:p>
    <w:p w14:paraId="112661CA" w14:textId="60098684" w:rsidR="008503AA" w:rsidRPr="003F4607" w:rsidRDefault="008503AA" w:rsidP="008503AA">
      <w:pPr>
        <w:rPr>
          <w:rFonts w:cstheme="minorHAnsi"/>
        </w:rPr>
      </w:pPr>
      <w:r w:rsidRPr="003F4607">
        <w:rPr>
          <w:rFonts w:cstheme="minorHAnsi"/>
        </w:rPr>
        <w:t>Instytucja Zarządzająca programem Fundusze Europejskie dla Podlaskiego 2021-2027 informuje, iż</w:t>
      </w:r>
      <w:r w:rsidR="00312C52" w:rsidRPr="003F4607">
        <w:rPr>
          <w:rFonts w:cstheme="minorHAnsi"/>
        </w:rPr>
        <w:t> </w:t>
      </w:r>
      <w:r w:rsidRPr="003F4607">
        <w:rPr>
          <w:rFonts w:cstheme="minorHAnsi"/>
        </w:rPr>
        <w:t xml:space="preserve">wprowadzono zmiany w Regulaminie wyboru projektów w </w:t>
      </w:r>
      <w:r w:rsidR="00312C52" w:rsidRPr="003F4607">
        <w:rPr>
          <w:rFonts w:cstheme="minorHAnsi"/>
        </w:rPr>
        <w:t xml:space="preserve">poniższym </w:t>
      </w:r>
      <w:r w:rsidRPr="003F4607">
        <w:rPr>
          <w:rFonts w:cstheme="minorHAnsi"/>
        </w:rPr>
        <w:t>zakresie</w:t>
      </w:r>
      <w:r w:rsidR="00312C52" w:rsidRPr="003F4607">
        <w:rPr>
          <w:rFonts w:cstheme="minorHAnsi"/>
        </w:rPr>
        <w:t>:</w:t>
      </w:r>
      <w:r w:rsidRPr="003F4607">
        <w:rPr>
          <w:rFonts w:cstheme="minorHAnsi"/>
        </w:rPr>
        <w:t xml:space="preserve"> </w:t>
      </w:r>
    </w:p>
    <w:p w14:paraId="0720FB64" w14:textId="77777777" w:rsidR="003F4607" w:rsidRDefault="003F4607" w:rsidP="00312C52">
      <w:pPr>
        <w:rPr>
          <w:rFonts w:cstheme="minorHAnsi"/>
          <w:b/>
          <w:bCs/>
        </w:rPr>
      </w:pPr>
    </w:p>
    <w:p w14:paraId="0809859F" w14:textId="429FCA4E" w:rsidR="00312C52" w:rsidRPr="003F4607" w:rsidRDefault="003F4607" w:rsidP="00312C52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1.2 Podstawowe informacje o naborze</w:t>
      </w:r>
    </w:p>
    <w:p w14:paraId="2D623212" w14:textId="56A7E1A5" w:rsidR="00312C52" w:rsidRPr="003F4607" w:rsidRDefault="00312C52" w:rsidP="00312C52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Było:</w:t>
      </w:r>
    </w:p>
    <w:p w14:paraId="3B5350AF" w14:textId="77777777" w:rsidR="00D631DE" w:rsidRPr="00D631DE" w:rsidRDefault="00D631DE" w:rsidP="00D631DE">
      <w:pPr>
        <w:tabs>
          <w:tab w:val="left" w:pos="426"/>
        </w:tabs>
        <w:autoSpaceDE w:val="0"/>
        <w:autoSpaceDN w:val="0"/>
        <w:spacing w:before="120" w:after="120" w:line="276" w:lineRule="auto"/>
        <w:contextualSpacing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Nabór wniosków o dofinansowanie będzie prowadzony wyłącznie w formie elektronicznej za pośrednictwem systemu SOWA EFS</w:t>
      </w:r>
      <w:r w:rsidRPr="00D631DE">
        <w:rPr>
          <w:rFonts w:eastAsia="Calibri" w:cstheme="minorHAnsi"/>
          <w:b/>
          <w:bCs/>
          <w:kern w:val="3"/>
          <w14:ligatures w14:val="none"/>
        </w:rPr>
        <w:t xml:space="preserve"> </w:t>
      </w:r>
      <w:r w:rsidRPr="00D631DE">
        <w:rPr>
          <w:rFonts w:eastAsia="Calibri" w:cstheme="minorHAnsi"/>
          <w:kern w:val="3"/>
          <w14:ligatures w14:val="none"/>
        </w:rPr>
        <w:t>w terminie:</w:t>
      </w:r>
    </w:p>
    <w:p w14:paraId="064B1C99" w14:textId="77777777" w:rsidR="00D631DE" w:rsidRPr="00D631DE" w:rsidRDefault="00D631DE" w:rsidP="00D631D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rozpoczęcie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17.10.2024 r. godz. 15:00</w:t>
      </w:r>
    </w:p>
    <w:p w14:paraId="0A94D6F4" w14:textId="77777777" w:rsidR="00D631DE" w:rsidRPr="00D631DE" w:rsidRDefault="00D631DE" w:rsidP="00D631D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color w:val="FF0000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zakończenie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02.12.2024 r. godz. 23:59</w:t>
      </w:r>
    </w:p>
    <w:p w14:paraId="0B06F90E" w14:textId="77777777" w:rsidR="00D631DE" w:rsidRPr="00D631DE" w:rsidRDefault="00D631DE" w:rsidP="00D631DE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eastAsia="Calibri" w:cstheme="minorHAnsi"/>
          <w:b/>
          <w:bCs/>
          <w:kern w:val="3"/>
          <w14:ligatures w14:val="none"/>
        </w:rPr>
      </w:pPr>
      <w:r w:rsidRPr="00D631DE">
        <w:rPr>
          <w:rFonts w:eastAsia="Calibri" w:cstheme="minorHAnsi"/>
          <w:b/>
          <w:bCs/>
          <w:color w:val="000000"/>
          <w:kern w:val="3"/>
          <w14:ligatures w14:val="none"/>
        </w:rPr>
        <w:t xml:space="preserve">Orientacyjny termin rozstrzygnięcia naboru: </w:t>
      </w:r>
      <w:r w:rsidRPr="00D631DE">
        <w:rPr>
          <w:rFonts w:eastAsia="Calibri" w:cstheme="minorHAnsi"/>
          <w:b/>
          <w:bCs/>
          <w:kern w:val="3"/>
          <w14:ligatures w14:val="none"/>
        </w:rPr>
        <w:t>sierpień 2025 r.</w:t>
      </w:r>
    </w:p>
    <w:p w14:paraId="258D3A38" w14:textId="77777777" w:rsidR="00D631DE" w:rsidRPr="00D631DE" w:rsidRDefault="00D631DE" w:rsidP="00D631DE">
      <w:pPr>
        <w:tabs>
          <w:tab w:val="left" w:pos="2268"/>
        </w:tabs>
        <w:autoSpaceDE w:val="0"/>
        <w:autoSpaceDN w:val="0"/>
        <w:spacing w:before="120" w:after="120" w:line="276" w:lineRule="auto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ION zastrzega sobie możliwość wydłużenia terminu składania wniosków, np. w wyniku zaistnienia przyczyn niezależnych (np. długotrwałej awarii systemu SOWA EFS+ 2021). ION o zmianie terminu składania wniosków informuje na stronie internetowej FEdP 2021-2027: </w:t>
      </w:r>
      <w:hyperlink r:id="rId7" w:history="1">
        <w:r w:rsidRPr="00D631DE">
          <w:rPr>
            <w:rFonts w:eastAsia="Calibri" w:cstheme="minorHAnsi"/>
            <w:b/>
            <w:color w:val="0563C1"/>
            <w:kern w:val="3"/>
            <w14:ligatures w14:val="none"/>
          </w:rPr>
          <w:t>https://funduszeuepodlaskie.eu</w:t>
        </w:r>
      </w:hyperlink>
      <w:r w:rsidRPr="00D631DE">
        <w:rPr>
          <w:rFonts w:eastAsia="Calibri" w:cstheme="minorHAnsi"/>
          <w:kern w:val="3"/>
          <w14:ligatures w14:val="none"/>
        </w:rPr>
        <w:t xml:space="preserve">  </w:t>
      </w:r>
      <w:r w:rsidRPr="00D631DE">
        <w:rPr>
          <w:rFonts w:eastAsia="Calibri" w:cstheme="minorHAnsi"/>
          <w:kern w:val="3"/>
          <w14:ligatures w14:val="none"/>
        </w:rPr>
        <w:br/>
        <w:t xml:space="preserve">oraz na portalu: </w:t>
      </w:r>
      <w:hyperlink r:id="rId8" w:history="1">
        <w:r w:rsidRPr="00D631DE">
          <w:rPr>
            <w:rFonts w:eastAsia="Calibri" w:cstheme="minorHAnsi"/>
            <w:b/>
            <w:color w:val="0563C1"/>
            <w:kern w:val="3"/>
            <w14:ligatures w14:val="none"/>
          </w:rPr>
          <w:t>https://www.funduszeeuropejskie.gov.pl</w:t>
        </w:r>
      </w:hyperlink>
    </w:p>
    <w:p w14:paraId="7BDEDB39" w14:textId="77777777" w:rsidR="00312C52" w:rsidRPr="003F4607" w:rsidRDefault="00312C52" w:rsidP="00312C52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Jest:</w:t>
      </w:r>
    </w:p>
    <w:p w14:paraId="70191E34" w14:textId="77777777" w:rsidR="00D631DE" w:rsidRPr="00D631DE" w:rsidRDefault="00D631DE" w:rsidP="00D631DE">
      <w:pPr>
        <w:tabs>
          <w:tab w:val="left" w:pos="426"/>
        </w:tabs>
        <w:autoSpaceDE w:val="0"/>
        <w:autoSpaceDN w:val="0"/>
        <w:spacing w:before="120" w:after="120" w:line="276" w:lineRule="auto"/>
        <w:contextualSpacing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Nabór wniosków o dofinansowanie będzie prowadzony wyłącznie w formie elektronicznej za pośrednictwem systemu SOWA EFS</w:t>
      </w:r>
      <w:r w:rsidRPr="00D631DE">
        <w:rPr>
          <w:rFonts w:eastAsia="Calibri" w:cstheme="minorHAnsi"/>
          <w:b/>
          <w:bCs/>
          <w:kern w:val="3"/>
          <w14:ligatures w14:val="none"/>
        </w:rPr>
        <w:t xml:space="preserve"> </w:t>
      </w:r>
      <w:r w:rsidRPr="00D631DE">
        <w:rPr>
          <w:rFonts w:eastAsia="Calibri" w:cstheme="minorHAnsi"/>
          <w:kern w:val="3"/>
          <w14:ligatures w14:val="none"/>
        </w:rPr>
        <w:t>w terminie:</w:t>
      </w:r>
    </w:p>
    <w:p w14:paraId="0EA89539" w14:textId="77777777" w:rsidR="00D631DE" w:rsidRPr="00D631DE" w:rsidRDefault="00D631DE" w:rsidP="00D631D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rozpoczęcie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17.10.2024 r. godz. 15:00</w:t>
      </w:r>
    </w:p>
    <w:p w14:paraId="74716792" w14:textId="77777777" w:rsidR="00D631DE" w:rsidRPr="00D631DE" w:rsidRDefault="00D631DE" w:rsidP="00D631DE">
      <w:pPr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before="120" w:after="120" w:line="276" w:lineRule="auto"/>
        <w:ind w:left="714" w:hanging="357"/>
        <w:contextualSpacing/>
        <w:textAlignment w:val="baseline"/>
        <w:rPr>
          <w:rFonts w:eastAsia="Calibri" w:cstheme="minorHAnsi"/>
          <w:color w:val="FF0000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 xml:space="preserve">zakończenie naboru wniosków: </w:t>
      </w:r>
      <w:r w:rsidRPr="00D631DE">
        <w:rPr>
          <w:rFonts w:eastAsia="Calibri" w:cstheme="minorHAnsi"/>
          <w:b/>
          <w:bCs/>
          <w:kern w:val="3"/>
          <w14:ligatures w14:val="none"/>
        </w:rPr>
        <w:t>15.01.2025 r. godz. 23:59</w:t>
      </w:r>
    </w:p>
    <w:p w14:paraId="3D9F5143" w14:textId="77777777" w:rsidR="00D631DE" w:rsidRPr="00D631DE" w:rsidRDefault="00D631DE" w:rsidP="00D631DE">
      <w:pPr>
        <w:tabs>
          <w:tab w:val="left" w:pos="426"/>
        </w:tabs>
        <w:autoSpaceDE w:val="0"/>
        <w:autoSpaceDN w:val="0"/>
        <w:spacing w:before="120" w:after="120" w:line="276" w:lineRule="auto"/>
        <w:rPr>
          <w:rFonts w:eastAsia="Calibri" w:cstheme="minorHAnsi"/>
          <w:b/>
          <w:bCs/>
          <w:kern w:val="3"/>
          <w14:ligatures w14:val="none"/>
        </w:rPr>
      </w:pPr>
      <w:r w:rsidRPr="00D631DE">
        <w:rPr>
          <w:rFonts w:eastAsia="Calibri" w:cstheme="minorHAnsi"/>
          <w:b/>
          <w:bCs/>
          <w:color w:val="000000"/>
          <w:kern w:val="3"/>
          <w14:ligatures w14:val="none"/>
        </w:rPr>
        <w:t xml:space="preserve">Orientacyjny termin rozstrzygnięcia naboru: </w:t>
      </w:r>
      <w:r w:rsidRPr="00D631DE">
        <w:rPr>
          <w:rFonts w:eastAsia="Calibri" w:cstheme="minorHAnsi"/>
          <w:b/>
          <w:bCs/>
          <w:kern w:val="3"/>
          <w14:ligatures w14:val="none"/>
        </w:rPr>
        <w:t>wrzesień 2025 r.</w:t>
      </w:r>
    </w:p>
    <w:p w14:paraId="0C7373CF" w14:textId="2B67111E" w:rsidR="001045A6" w:rsidRDefault="00D631DE" w:rsidP="00D631DE">
      <w:pPr>
        <w:tabs>
          <w:tab w:val="left" w:pos="2268"/>
        </w:tabs>
        <w:autoSpaceDE w:val="0"/>
        <w:autoSpaceDN w:val="0"/>
        <w:spacing w:before="120" w:after="120" w:line="276" w:lineRule="auto"/>
        <w:rPr>
          <w:rFonts w:eastAsia="Calibri" w:cstheme="minorHAnsi"/>
          <w:kern w:val="3"/>
          <w14:ligatures w14:val="none"/>
        </w:rPr>
      </w:pPr>
      <w:bookmarkStart w:id="0" w:name="_Hlk183511159"/>
      <w:r w:rsidRPr="00D631DE">
        <w:rPr>
          <w:rFonts w:eastAsia="Calibri" w:cstheme="minorHAnsi"/>
          <w:kern w:val="3"/>
          <w14:ligatures w14:val="none"/>
        </w:rPr>
        <w:t xml:space="preserve">ION zastrzega sobie możliwość wydłużenia terminu składania wniosków, np. w wyniku zaistnienia </w:t>
      </w:r>
      <w:r w:rsidR="00D87721">
        <w:rPr>
          <w:rFonts w:eastAsia="Calibri" w:cstheme="minorHAnsi"/>
          <w:kern w:val="3"/>
          <w14:ligatures w14:val="none"/>
        </w:rPr>
        <w:t xml:space="preserve">następujących </w:t>
      </w:r>
      <w:r w:rsidRPr="00D631DE">
        <w:rPr>
          <w:rFonts w:eastAsia="Calibri" w:cstheme="minorHAnsi"/>
          <w:kern w:val="3"/>
          <w14:ligatures w14:val="none"/>
        </w:rPr>
        <w:t>przyczyn</w:t>
      </w:r>
      <w:r w:rsidR="00D87721">
        <w:rPr>
          <w:rFonts w:eastAsia="Calibri" w:cstheme="minorHAnsi"/>
          <w:kern w:val="3"/>
          <w14:ligatures w14:val="none"/>
        </w:rPr>
        <w:t>:</w:t>
      </w:r>
      <w:r w:rsidRPr="00D631DE">
        <w:rPr>
          <w:rFonts w:eastAsia="Calibri" w:cstheme="minorHAnsi"/>
          <w:kern w:val="3"/>
          <w14:ligatures w14:val="none"/>
        </w:rPr>
        <w:t xml:space="preserve">  awarii systemu SOWA EFS+ 2021, zwiększeni</w:t>
      </w:r>
      <w:r w:rsidR="00D87721">
        <w:rPr>
          <w:rFonts w:eastAsia="Calibri" w:cstheme="minorHAnsi"/>
          <w:kern w:val="3"/>
          <w14:ligatures w14:val="none"/>
        </w:rPr>
        <w:t>a</w:t>
      </w:r>
      <w:r w:rsidRPr="00D631DE">
        <w:rPr>
          <w:rFonts w:eastAsia="Calibri" w:cstheme="minorHAnsi"/>
          <w:kern w:val="3"/>
          <w14:ligatures w14:val="none"/>
        </w:rPr>
        <w:t xml:space="preserve"> </w:t>
      </w:r>
      <w:r w:rsidR="00E92C67" w:rsidRPr="00D631DE">
        <w:rPr>
          <w:rFonts w:eastAsia="Calibri" w:cstheme="minorHAnsi"/>
          <w:kern w:val="3"/>
          <w14:ligatures w14:val="none"/>
        </w:rPr>
        <w:t>kwot</w:t>
      </w:r>
      <w:r w:rsidR="00E92C67">
        <w:rPr>
          <w:rFonts w:eastAsia="Calibri" w:cstheme="minorHAnsi"/>
          <w:kern w:val="3"/>
          <w14:ligatures w14:val="none"/>
        </w:rPr>
        <w:t>y</w:t>
      </w:r>
      <w:r w:rsidRPr="00D631DE">
        <w:rPr>
          <w:rFonts w:eastAsia="Calibri" w:cstheme="minorHAnsi"/>
          <w:kern w:val="3"/>
          <w14:ligatures w14:val="none"/>
        </w:rPr>
        <w:t xml:space="preserve"> przewidzianej na dofinansowanie projektów w ramach postępowania, </w:t>
      </w:r>
      <w:r w:rsidR="00D87721">
        <w:rPr>
          <w:rFonts w:eastAsia="Calibri" w:cstheme="minorHAnsi"/>
          <w:kern w:val="3"/>
          <w14:ligatures w14:val="none"/>
        </w:rPr>
        <w:t xml:space="preserve"> uzasadnionych wniosków potencjalnych </w:t>
      </w:r>
      <w:r w:rsidR="00E92C67">
        <w:rPr>
          <w:rFonts w:eastAsia="Calibri" w:cstheme="minorHAnsi"/>
          <w:kern w:val="3"/>
          <w14:ligatures w14:val="none"/>
        </w:rPr>
        <w:t>W</w:t>
      </w:r>
      <w:r w:rsidR="00D87721">
        <w:rPr>
          <w:rFonts w:eastAsia="Calibri" w:cstheme="minorHAnsi"/>
          <w:kern w:val="3"/>
          <w14:ligatures w14:val="none"/>
        </w:rPr>
        <w:t>nioskodawców</w:t>
      </w:r>
      <w:r w:rsidRPr="00D631DE">
        <w:rPr>
          <w:rFonts w:eastAsia="Calibri" w:cstheme="minorHAnsi"/>
          <w:kern w:val="3"/>
          <w14:ligatures w14:val="none"/>
        </w:rPr>
        <w:t xml:space="preserve">. </w:t>
      </w:r>
      <w:r w:rsidR="001045A6" w:rsidRPr="001045A6">
        <w:rPr>
          <w:rFonts w:eastAsia="Calibri" w:cstheme="minorHAnsi"/>
          <w:kern w:val="3"/>
          <w14:ligatures w14:val="none"/>
        </w:rPr>
        <w:t xml:space="preserve">Wystąpienie </w:t>
      </w:r>
      <w:r w:rsidR="001045A6">
        <w:rPr>
          <w:rFonts w:eastAsia="Calibri" w:cstheme="minorHAnsi"/>
          <w:kern w:val="3"/>
          <w14:ligatures w14:val="none"/>
        </w:rPr>
        <w:t>powyższych</w:t>
      </w:r>
      <w:r w:rsidR="001045A6" w:rsidRPr="001045A6">
        <w:rPr>
          <w:rFonts w:eastAsia="Calibri" w:cstheme="minorHAnsi"/>
          <w:kern w:val="3"/>
          <w14:ligatures w14:val="none"/>
        </w:rPr>
        <w:t xml:space="preserve"> okoliczności nie</w:t>
      </w:r>
      <w:r w:rsidR="001045A6">
        <w:rPr>
          <w:rFonts w:eastAsia="Calibri" w:cstheme="minorHAnsi"/>
          <w:kern w:val="3"/>
          <w14:ligatures w14:val="none"/>
        </w:rPr>
        <w:t xml:space="preserve"> </w:t>
      </w:r>
      <w:r w:rsidR="001045A6" w:rsidRPr="001045A6">
        <w:rPr>
          <w:rFonts w:eastAsia="Calibri" w:cstheme="minorHAnsi"/>
          <w:kern w:val="3"/>
          <w14:ligatures w14:val="none"/>
        </w:rPr>
        <w:t>stanowi samoistnej przesłanki  wydłużenia naboru</w:t>
      </w:r>
      <w:r w:rsidR="00E92C67">
        <w:rPr>
          <w:rFonts w:eastAsia="Calibri" w:cstheme="minorHAnsi"/>
          <w:kern w:val="3"/>
          <w14:ligatures w14:val="none"/>
        </w:rPr>
        <w:t>, co</w:t>
      </w:r>
      <w:r w:rsidR="001045A6" w:rsidRPr="001045A6">
        <w:rPr>
          <w:rFonts w:eastAsia="Calibri" w:cstheme="minorHAnsi"/>
          <w:kern w:val="3"/>
          <w14:ligatures w14:val="none"/>
        </w:rPr>
        <w:t xml:space="preserve"> </w:t>
      </w:r>
      <w:r w:rsidR="00E92C67">
        <w:rPr>
          <w:rFonts w:eastAsia="Calibri" w:cstheme="minorHAnsi"/>
          <w:kern w:val="3"/>
          <w14:ligatures w14:val="none"/>
        </w:rPr>
        <w:t>o</w:t>
      </w:r>
      <w:r w:rsidR="001045A6" w:rsidRPr="001045A6">
        <w:rPr>
          <w:rFonts w:eastAsia="Calibri" w:cstheme="minorHAnsi"/>
          <w:kern w:val="3"/>
          <w14:ligatures w14:val="none"/>
        </w:rPr>
        <w:t>znacza ,że</w:t>
      </w:r>
      <w:r w:rsidR="00E92C67">
        <w:rPr>
          <w:rFonts w:eastAsia="Calibri" w:cstheme="minorHAnsi"/>
          <w:kern w:val="3"/>
          <w14:ligatures w14:val="none"/>
        </w:rPr>
        <w:t xml:space="preserve"> samo </w:t>
      </w:r>
      <w:r w:rsidR="001045A6" w:rsidRPr="001045A6">
        <w:rPr>
          <w:rFonts w:eastAsia="Calibri" w:cstheme="minorHAnsi"/>
          <w:kern w:val="3"/>
          <w14:ligatures w14:val="none"/>
        </w:rPr>
        <w:t>wystąpienie danej okoliczności nie</w:t>
      </w:r>
      <w:r w:rsidR="001045A6">
        <w:rPr>
          <w:rFonts w:eastAsia="Calibri" w:cstheme="minorHAnsi"/>
          <w:kern w:val="3"/>
          <w14:ligatures w14:val="none"/>
        </w:rPr>
        <w:t xml:space="preserve"> zawsze</w:t>
      </w:r>
      <w:r w:rsidR="001045A6" w:rsidRPr="001045A6">
        <w:rPr>
          <w:rFonts w:eastAsia="Calibri" w:cstheme="minorHAnsi"/>
          <w:kern w:val="3"/>
          <w14:ligatures w14:val="none"/>
        </w:rPr>
        <w:t xml:space="preserve"> prowadzi do wydłużenia naboru</w:t>
      </w:r>
      <w:r w:rsidR="00E92C67">
        <w:rPr>
          <w:rFonts w:eastAsia="Calibri" w:cstheme="minorHAnsi"/>
          <w:kern w:val="3"/>
          <w14:ligatures w14:val="none"/>
        </w:rPr>
        <w:t>, a decyzja w tym zakresie należy do ION.</w:t>
      </w:r>
    </w:p>
    <w:bookmarkEnd w:id="0"/>
    <w:p w14:paraId="23FD4FAF" w14:textId="5DAB3740" w:rsidR="00D631DE" w:rsidRPr="00D631DE" w:rsidRDefault="00D631DE" w:rsidP="00D631DE">
      <w:pPr>
        <w:tabs>
          <w:tab w:val="left" w:pos="2268"/>
        </w:tabs>
        <w:autoSpaceDE w:val="0"/>
        <w:autoSpaceDN w:val="0"/>
        <w:spacing w:before="120" w:after="120" w:line="276" w:lineRule="auto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lastRenderedPageBreak/>
        <w:t xml:space="preserve">ION o zmianie terminu składania wniosków informuje na stronie internetowej FEdP 2021-2027: </w:t>
      </w:r>
      <w:hyperlink r:id="rId9" w:history="1">
        <w:r w:rsidRPr="00D631DE">
          <w:rPr>
            <w:rFonts w:eastAsia="Calibri" w:cstheme="minorHAnsi"/>
            <w:b/>
            <w:color w:val="0563C1"/>
            <w:kern w:val="3"/>
            <w14:ligatures w14:val="none"/>
          </w:rPr>
          <w:t>https://funduszeuepodlaskie.eu</w:t>
        </w:r>
      </w:hyperlink>
      <w:r w:rsidRPr="00D631DE">
        <w:rPr>
          <w:rFonts w:eastAsia="Calibri" w:cstheme="minorHAnsi"/>
          <w:kern w:val="3"/>
          <w14:ligatures w14:val="none"/>
        </w:rPr>
        <w:t xml:space="preserve">  </w:t>
      </w:r>
      <w:r w:rsidRPr="00D631DE">
        <w:rPr>
          <w:rFonts w:eastAsia="Calibri" w:cstheme="minorHAnsi"/>
          <w:kern w:val="3"/>
          <w14:ligatures w14:val="none"/>
        </w:rPr>
        <w:br/>
        <w:t xml:space="preserve">oraz na portalu: </w:t>
      </w:r>
      <w:hyperlink r:id="rId10" w:history="1">
        <w:r w:rsidRPr="00D631DE">
          <w:rPr>
            <w:rFonts w:eastAsia="Calibri" w:cstheme="minorHAnsi"/>
            <w:b/>
            <w:color w:val="0563C1"/>
            <w:kern w:val="3"/>
            <w14:ligatures w14:val="none"/>
          </w:rPr>
          <w:t>https://www.funduszeeuropejskie.gov.pl</w:t>
        </w:r>
      </w:hyperlink>
    </w:p>
    <w:p w14:paraId="3DD5884F" w14:textId="77777777" w:rsidR="00D10C0B" w:rsidRPr="003F4607" w:rsidRDefault="00D10C0B" w:rsidP="008503AA">
      <w:pPr>
        <w:rPr>
          <w:rFonts w:cstheme="minorHAnsi"/>
        </w:rPr>
      </w:pPr>
    </w:p>
    <w:p w14:paraId="65516185" w14:textId="7605BA83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1.3</w:t>
      </w:r>
      <w:r w:rsidRPr="003F4607">
        <w:rPr>
          <w:rFonts w:cstheme="minorHAnsi"/>
          <w:b/>
          <w:bCs/>
        </w:rPr>
        <w:tab/>
        <w:t>Kwota przeznaczona na dofinansowanie projektów w naborze</w:t>
      </w:r>
    </w:p>
    <w:p w14:paraId="55C5CED6" w14:textId="77911E39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Było:</w:t>
      </w:r>
    </w:p>
    <w:p w14:paraId="461C5DDC" w14:textId="500019FC" w:rsidR="00D631DE" w:rsidRPr="003F4607" w:rsidRDefault="00D631DE" w:rsidP="00D631DE">
      <w:pPr>
        <w:autoSpaceDE w:val="0"/>
        <w:autoSpaceDN w:val="0"/>
        <w:spacing w:before="200" w:after="200" w:line="276" w:lineRule="auto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W niniejszym naborze wydatki w ramach kosztów bezpośrednich mogą być rozliczane wyłącznie na podstawie rzeczywiście poniesionych wydatków. Wnioski, w których koszty bezpośrednie będą rozliczane na podstawie kwot ryczałtowych nie spełnią kryterium formalnego nr 8 i zostaną odrzucone na etapie oceny formalnej.</w:t>
      </w:r>
    </w:p>
    <w:p w14:paraId="62A725F3" w14:textId="77777777" w:rsidR="00D631DE" w:rsidRPr="003F4607" w:rsidRDefault="00D631DE" w:rsidP="00D631DE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Jest:</w:t>
      </w:r>
    </w:p>
    <w:p w14:paraId="0BE6A730" w14:textId="36435427" w:rsidR="00D631DE" w:rsidRPr="003F4607" w:rsidRDefault="00D631DE" w:rsidP="008503AA">
      <w:pPr>
        <w:rPr>
          <w:rFonts w:cstheme="minorHAnsi"/>
        </w:rPr>
      </w:pPr>
      <w:r w:rsidRPr="003F4607">
        <w:rPr>
          <w:rFonts w:cstheme="minorHAnsi"/>
        </w:rPr>
        <w:t>Zgodnie z kryterium formalnym nr 8 koszty bezpośrednie w projekcie  rozliczane są zgodnie ze sposobem rozliczania określonym w Regulaminie wyboru projektów. W  niniejszym naborze wydatki w ramach kosztów bezpośrednich mogą być rozliczane wyłącznie na podstawie rzeczywiście poniesionych wydatków. Wnioski, w których koszty bezpośrednie będą rozliczane na podstawie kwot ryczałtowych nie spełnią kryterium formalnego nr 8 i zostaną odrzucone na etapie oceny formalnej.</w:t>
      </w:r>
    </w:p>
    <w:p w14:paraId="216EE11E" w14:textId="77777777" w:rsidR="00D631DE" w:rsidRPr="003F4607" w:rsidRDefault="00D631DE" w:rsidP="008503AA">
      <w:pPr>
        <w:rPr>
          <w:rFonts w:cstheme="minorHAnsi"/>
        </w:rPr>
      </w:pPr>
    </w:p>
    <w:p w14:paraId="18248171" w14:textId="55FDBA03" w:rsidR="00D631DE" w:rsidRPr="00D631DE" w:rsidRDefault="00D631DE" w:rsidP="00D631DE">
      <w:pPr>
        <w:keepNext/>
        <w:keepLines/>
        <w:numPr>
          <w:ilvl w:val="1"/>
          <w:numId w:val="0"/>
        </w:numPr>
        <w:tabs>
          <w:tab w:val="left" w:pos="426"/>
        </w:tabs>
        <w:suppressAutoHyphens/>
        <w:autoSpaceDN w:val="0"/>
        <w:spacing w:before="200" w:after="200" w:line="276" w:lineRule="auto"/>
        <w:textAlignment w:val="baseline"/>
        <w:outlineLvl w:val="1"/>
        <w:rPr>
          <w:rFonts w:eastAsia="Times New Roman" w:cstheme="minorHAnsi"/>
          <w:b/>
          <w:bCs/>
          <w:color w:val="000000"/>
          <w:kern w:val="3"/>
          <w14:ligatures w14:val="none"/>
        </w:rPr>
      </w:pPr>
      <w:bookmarkStart w:id="1" w:name="_Toc179976653"/>
      <w:r w:rsidRPr="003F4607">
        <w:rPr>
          <w:rFonts w:eastAsia="Times New Roman" w:cstheme="minorHAnsi"/>
          <w:b/>
          <w:bCs/>
          <w:color w:val="000000"/>
          <w:kern w:val="3"/>
          <w14:ligatures w14:val="none"/>
        </w:rPr>
        <w:t xml:space="preserve">1.4 </w:t>
      </w:r>
      <w:r w:rsidRPr="00D631DE">
        <w:rPr>
          <w:rFonts w:eastAsia="Times New Roman" w:cstheme="minorHAnsi"/>
          <w:b/>
          <w:bCs/>
          <w:color w:val="000000"/>
          <w:kern w:val="3"/>
          <w14:ligatures w14:val="none"/>
        </w:rPr>
        <w:t>Sposób składania wniosku o dofinansowanie</w:t>
      </w:r>
      <w:bookmarkEnd w:id="1"/>
    </w:p>
    <w:p w14:paraId="7E2AAB68" w14:textId="053DFD97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Było:</w:t>
      </w:r>
    </w:p>
    <w:p w14:paraId="3F11BEAC" w14:textId="77777777" w:rsidR="00D631DE" w:rsidRPr="00D631DE" w:rsidRDefault="00D631DE" w:rsidP="00D631DE">
      <w:pPr>
        <w:tabs>
          <w:tab w:val="left" w:pos="284"/>
        </w:tabs>
        <w:suppressAutoHyphens/>
        <w:autoSpaceDN w:val="0"/>
        <w:spacing w:before="120" w:after="120" w:line="276" w:lineRule="auto"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W sytuacji, gdy Wnioskodawca przygotuje budżet szczegółowy w pliku Open Office, należy dołączyć ten załącznik w pliku spakowanym do „zip” lub „7z”.</w:t>
      </w:r>
    </w:p>
    <w:p w14:paraId="26CCA6ED" w14:textId="77777777" w:rsidR="00D631DE" w:rsidRPr="00D631DE" w:rsidRDefault="00D631DE" w:rsidP="00D631DE">
      <w:pPr>
        <w:tabs>
          <w:tab w:val="left" w:pos="284"/>
        </w:tabs>
        <w:suppressAutoHyphens/>
        <w:autoSpaceDN w:val="0"/>
        <w:spacing w:before="120" w:after="120" w:line="276" w:lineRule="auto"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Maksymalny rozmiar każdego z dołączanych plików, w tym maksymalny rozmiar archiwum to 5 MB. Maksymalna wielkość wszystkich plików załączonych do wniosku to 35 MB.</w:t>
      </w:r>
    </w:p>
    <w:p w14:paraId="7AFA1ECF" w14:textId="77777777" w:rsidR="00D631DE" w:rsidRPr="003F4607" w:rsidRDefault="00D631DE" w:rsidP="008503AA">
      <w:pPr>
        <w:rPr>
          <w:rFonts w:cstheme="minorHAnsi"/>
        </w:rPr>
      </w:pPr>
    </w:p>
    <w:p w14:paraId="48766C28" w14:textId="101C0E3C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Jest:</w:t>
      </w:r>
    </w:p>
    <w:p w14:paraId="21345436" w14:textId="77777777" w:rsidR="00D631DE" w:rsidRPr="00D631DE" w:rsidRDefault="00D631DE" w:rsidP="00D631DE">
      <w:pPr>
        <w:tabs>
          <w:tab w:val="left" w:pos="284"/>
        </w:tabs>
        <w:suppressAutoHyphens/>
        <w:autoSpaceDN w:val="0"/>
        <w:spacing w:before="120" w:after="120" w:line="276" w:lineRule="auto"/>
        <w:textAlignment w:val="baseline"/>
        <w:rPr>
          <w:rFonts w:eastAsia="Calibri" w:cstheme="minorHAnsi"/>
          <w:kern w:val="3"/>
          <w14:ligatures w14:val="none"/>
        </w:rPr>
      </w:pPr>
      <w:r w:rsidRPr="00D631DE">
        <w:rPr>
          <w:rFonts w:eastAsia="Calibri" w:cstheme="minorHAnsi"/>
          <w:kern w:val="3"/>
          <w14:ligatures w14:val="none"/>
        </w:rPr>
        <w:t>Maksymalny rozmiar każdego z dołączanych plików, w tym maksymalny rozmiar archiwum to 5 MB. Maksymalna wielkość wszystkich plików załączonych do wniosku to 35 MB.</w:t>
      </w:r>
    </w:p>
    <w:p w14:paraId="23361822" w14:textId="77777777" w:rsidR="00D631DE" w:rsidRPr="003F4607" w:rsidRDefault="00D631DE" w:rsidP="008503AA">
      <w:pPr>
        <w:rPr>
          <w:rFonts w:cstheme="minorHAnsi"/>
        </w:rPr>
      </w:pPr>
    </w:p>
    <w:p w14:paraId="6F042CD7" w14:textId="77777777" w:rsidR="00D631DE" w:rsidRPr="003F4607" w:rsidRDefault="00D631DE" w:rsidP="00D631DE">
      <w:pPr>
        <w:pStyle w:val="Nagwek3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bookmarkStart w:id="2" w:name="_Toc179976671"/>
      <w:r w:rsidRPr="003F4607">
        <w:rPr>
          <w:rFonts w:asciiTheme="minorHAnsi" w:hAnsiTheme="minorHAnsi" w:cstheme="minorHAnsi"/>
          <w:szCs w:val="22"/>
        </w:rPr>
        <w:t>2.5.4 Definicje wskaźników</w:t>
      </w:r>
      <w:bookmarkEnd w:id="2"/>
    </w:p>
    <w:p w14:paraId="174E8722" w14:textId="77777777" w:rsidR="00D631DE" w:rsidRPr="003F4607" w:rsidRDefault="00D631DE" w:rsidP="008503AA">
      <w:pPr>
        <w:rPr>
          <w:rFonts w:cstheme="minorHAnsi"/>
        </w:rPr>
      </w:pPr>
    </w:p>
    <w:p w14:paraId="17AA6B91" w14:textId="1758E8C6" w:rsidR="00D631DE" w:rsidRPr="003F4607" w:rsidRDefault="00D631DE" w:rsidP="003F4607">
      <w:pPr>
        <w:suppressAutoHyphens/>
        <w:autoSpaceDN w:val="0"/>
        <w:spacing w:before="120" w:after="120" w:line="276" w:lineRule="auto"/>
        <w:textAlignment w:val="baseline"/>
        <w:rPr>
          <w:rFonts w:eastAsia="Calibri" w:cstheme="minorHAnsi"/>
          <w:kern w:val="3"/>
          <w14:ligatures w14:val="none"/>
        </w:rPr>
      </w:pPr>
      <w:r w:rsidRPr="003F4607">
        <w:rPr>
          <w:rFonts w:eastAsia="Calibri" w:cstheme="minorHAnsi"/>
          <w:kern w:val="3"/>
          <w14:ligatures w14:val="none"/>
        </w:rPr>
        <w:t>Definicja wskaźnika „</w:t>
      </w:r>
      <w:r w:rsidRPr="00D631DE">
        <w:rPr>
          <w:rFonts w:eastAsia="Calibri" w:cstheme="minorHAnsi"/>
          <w:kern w:val="3"/>
          <w14:ligatures w14:val="none"/>
        </w:rPr>
        <w:t>Liczba osób z niepełnosprawnościami objętych wsparciem w programie</w:t>
      </w:r>
      <w:r w:rsidRPr="003F4607">
        <w:rPr>
          <w:rFonts w:eastAsia="Calibri" w:cstheme="minorHAnsi"/>
          <w:kern w:val="3"/>
          <w14:ligatures w14:val="none"/>
        </w:rPr>
        <w:t xml:space="preserve">” przeniesiona zostaje </w:t>
      </w:r>
      <w:r w:rsidR="003F4607">
        <w:rPr>
          <w:rFonts w:eastAsia="Calibri" w:cstheme="minorHAnsi"/>
          <w:kern w:val="3"/>
          <w14:ligatures w14:val="none"/>
        </w:rPr>
        <w:t xml:space="preserve">z części tabeli dot. </w:t>
      </w:r>
      <w:r w:rsidR="003F4607" w:rsidRPr="003F4607">
        <w:rPr>
          <w:rFonts w:eastAsia="Calibri" w:cstheme="minorHAnsi"/>
          <w:kern w:val="3"/>
          <w14:ligatures w14:val="none"/>
        </w:rPr>
        <w:t>Obligatoryjn</w:t>
      </w:r>
      <w:r w:rsidR="003F4607">
        <w:rPr>
          <w:rFonts w:eastAsia="Calibri" w:cstheme="minorHAnsi"/>
          <w:kern w:val="3"/>
          <w14:ligatures w14:val="none"/>
        </w:rPr>
        <w:t>ych</w:t>
      </w:r>
      <w:r w:rsidR="003F4607" w:rsidRPr="003F4607">
        <w:rPr>
          <w:rFonts w:eastAsia="Calibri" w:cstheme="minorHAnsi"/>
          <w:kern w:val="3"/>
          <w14:ligatures w14:val="none"/>
        </w:rPr>
        <w:t xml:space="preserve"> wskaźnik</w:t>
      </w:r>
      <w:r w:rsidR="003F4607">
        <w:rPr>
          <w:rFonts w:eastAsia="Calibri" w:cstheme="minorHAnsi"/>
          <w:kern w:val="3"/>
          <w14:ligatures w14:val="none"/>
        </w:rPr>
        <w:t>ów</w:t>
      </w:r>
      <w:r w:rsidR="003F4607" w:rsidRPr="003F4607">
        <w:rPr>
          <w:rFonts w:eastAsia="Calibri" w:cstheme="minorHAnsi"/>
          <w:kern w:val="3"/>
          <w14:ligatures w14:val="none"/>
        </w:rPr>
        <w:t xml:space="preserve"> kluczow</w:t>
      </w:r>
      <w:r w:rsidR="003F4607">
        <w:rPr>
          <w:rFonts w:eastAsia="Calibri" w:cstheme="minorHAnsi"/>
          <w:kern w:val="3"/>
          <w14:ligatures w14:val="none"/>
        </w:rPr>
        <w:t>ych</w:t>
      </w:r>
      <w:r w:rsidR="003F4607" w:rsidRPr="003F4607">
        <w:rPr>
          <w:rFonts w:eastAsia="Calibri" w:cstheme="minorHAnsi"/>
          <w:kern w:val="3"/>
          <w14:ligatures w14:val="none"/>
        </w:rPr>
        <w:t xml:space="preserve"> produktu </w:t>
      </w:r>
      <w:r w:rsidRPr="003F4607">
        <w:rPr>
          <w:rFonts w:eastAsia="Calibri" w:cstheme="minorHAnsi"/>
          <w:kern w:val="3"/>
          <w14:ligatures w14:val="none"/>
        </w:rPr>
        <w:t>do części tabeli dot. wskaźników wspólnych produktu.</w:t>
      </w:r>
    </w:p>
    <w:p w14:paraId="4CB8AE38" w14:textId="3A20E4A2" w:rsidR="00D631DE" w:rsidRPr="003F4607" w:rsidRDefault="00D631DE" w:rsidP="008503AA">
      <w:pPr>
        <w:rPr>
          <w:rFonts w:cstheme="minorHAnsi"/>
        </w:rPr>
      </w:pPr>
      <w:r w:rsidRPr="003F4607">
        <w:rPr>
          <w:rFonts w:cstheme="minorHAnsi"/>
        </w:rPr>
        <w:t>Zmiana definicji zalecanego wskaźnika własnego produktu:</w:t>
      </w:r>
    </w:p>
    <w:p w14:paraId="56063D44" w14:textId="037E30C3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Było: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D631DE" w:rsidRPr="00D631DE" w14:paraId="39C3887F" w14:textId="77777777" w:rsidTr="00086469">
        <w:tc>
          <w:tcPr>
            <w:tcW w:w="8778" w:type="dxa"/>
            <w:shd w:val="clear" w:color="auto" w:fill="D9D9D9"/>
          </w:tcPr>
          <w:p w14:paraId="31FFB4B0" w14:textId="77777777" w:rsidR="00D631DE" w:rsidRPr="00D631DE" w:rsidRDefault="00D631DE" w:rsidP="00D631DE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b/>
                <w:bCs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b/>
                <w:bCs/>
                <w:kern w:val="3"/>
                <w14:ligatures w14:val="none"/>
              </w:rPr>
              <w:lastRenderedPageBreak/>
              <w:t>Nazwa wskaźnika: Liczba podmiotów zobowiązanych do zachowania trwałości</w:t>
            </w:r>
          </w:p>
        </w:tc>
      </w:tr>
      <w:tr w:rsidR="00D631DE" w:rsidRPr="00D631DE" w14:paraId="6774425E" w14:textId="77777777" w:rsidTr="00086469">
        <w:tc>
          <w:tcPr>
            <w:tcW w:w="8778" w:type="dxa"/>
            <w:shd w:val="clear" w:color="auto" w:fill="auto"/>
          </w:tcPr>
          <w:p w14:paraId="1D5851B2" w14:textId="77777777" w:rsidR="00D631DE" w:rsidRPr="00D631DE" w:rsidRDefault="00D631DE" w:rsidP="00D631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b/>
                <w:bCs/>
                <w:kern w:val="3"/>
                <w14:ligatures w14:val="none"/>
              </w:rPr>
              <w:t>Definicja:</w:t>
            </w:r>
          </w:p>
          <w:p w14:paraId="6042E02C" w14:textId="77777777" w:rsidR="00D631DE" w:rsidRPr="00D631DE" w:rsidRDefault="00D631DE" w:rsidP="00D631DE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kern w:val="3"/>
                <w14:ligatures w14:val="none"/>
              </w:rPr>
              <w:t xml:space="preserve">W odniesieniu do projektów współfinansowanych z EFS+ obowiązkowi zachowania trwałości podlegają projekty zakładające wystąpienie trwałości rezultatów i/lub w których występował cross-financing (trwałość projektu). </w:t>
            </w:r>
          </w:p>
          <w:p w14:paraId="009ECEE8" w14:textId="77777777" w:rsidR="00D631DE" w:rsidRPr="00D631DE" w:rsidRDefault="00D631DE" w:rsidP="00D631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kern w:val="3"/>
                <w14:ligatures w14:val="none"/>
              </w:rPr>
              <w:t>Okres trwałości projektu wynosi pięć lat od daty dokonania płatności końcowej na rzecz beneficjenta. Okres ten skraca się do trzech lat w zakresie utrzymania inwestycji lub miejsc pracy w projekcie beneficjenta, którym jest mikro, mały lub średni przedsiębiorca. W przypadku projektów finansowanych w ramach EFS+, okres trwałości rezultatów jest wskazany każdorazowo w kryterium lub regulaminie wyboru projektów.</w:t>
            </w:r>
          </w:p>
        </w:tc>
      </w:tr>
    </w:tbl>
    <w:p w14:paraId="70E602C9" w14:textId="77777777" w:rsidR="00D631DE" w:rsidRPr="003F4607" w:rsidRDefault="00D631DE" w:rsidP="008503AA">
      <w:pPr>
        <w:rPr>
          <w:rFonts w:cstheme="minorHAnsi"/>
        </w:rPr>
      </w:pPr>
    </w:p>
    <w:p w14:paraId="47C0385E" w14:textId="7A8B88A6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D631DE" w:rsidRPr="00D631DE" w14:paraId="344FBAEE" w14:textId="77777777" w:rsidTr="00086469">
        <w:tc>
          <w:tcPr>
            <w:tcW w:w="8778" w:type="dxa"/>
            <w:shd w:val="clear" w:color="auto" w:fill="D9D9D9"/>
          </w:tcPr>
          <w:p w14:paraId="772728A8" w14:textId="77777777" w:rsidR="00D631DE" w:rsidRPr="00D631DE" w:rsidRDefault="00D631DE" w:rsidP="00D631DE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Calibri" w:cstheme="minorHAnsi"/>
                <w:b/>
                <w:bCs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b/>
                <w:bCs/>
                <w:kern w:val="3"/>
                <w14:ligatures w14:val="none"/>
              </w:rPr>
              <w:t>Nazwa wskaźnika: Liczba podmiotów zobowiązanych do zachowania trwałości</w:t>
            </w:r>
          </w:p>
        </w:tc>
      </w:tr>
      <w:tr w:rsidR="00D631DE" w:rsidRPr="00D631DE" w14:paraId="47E468AB" w14:textId="77777777" w:rsidTr="00086469">
        <w:tc>
          <w:tcPr>
            <w:tcW w:w="8778" w:type="dxa"/>
            <w:shd w:val="clear" w:color="auto" w:fill="auto"/>
          </w:tcPr>
          <w:p w14:paraId="71C306B6" w14:textId="77777777" w:rsidR="00D631DE" w:rsidRPr="00D631DE" w:rsidRDefault="00D631DE" w:rsidP="00D631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b/>
                <w:bCs/>
                <w:kern w:val="3"/>
                <w14:ligatures w14:val="none"/>
              </w:rPr>
              <w:t>Definicja:</w:t>
            </w:r>
          </w:p>
          <w:p w14:paraId="61E5748B" w14:textId="0001A6FB" w:rsidR="00D631DE" w:rsidRPr="00D631DE" w:rsidRDefault="00D631DE" w:rsidP="00D631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kern w:val="3"/>
                <w14:ligatures w14:val="none"/>
              </w:rPr>
              <w:t>Wskaźnik mierzy liczbę podmiotów  zobowiązanych do zachowania trwałości w związku z realizacją projektu. Obowiązkowi zachowania trwałości podlegają projekty zakładające wystąpienie trwałości rezultatów i/lub w których występowały wydatki w ramach cross-financingu (trwałość projektu). Przy czym podmiot wykazywany jest jeden raz (bez względu na to, czy zobowiązany jest do zachowania  trwałości rezultatu czy też cross-finan</w:t>
            </w:r>
            <w:r w:rsidR="00E92C67">
              <w:rPr>
                <w:rFonts w:eastAsia="Calibri" w:cstheme="minorHAnsi"/>
                <w:kern w:val="3"/>
                <w14:ligatures w14:val="none"/>
              </w:rPr>
              <w:t>c</w:t>
            </w:r>
            <w:r w:rsidRPr="00D631DE">
              <w:rPr>
                <w:rFonts w:eastAsia="Calibri" w:cstheme="minorHAnsi"/>
                <w:kern w:val="3"/>
                <w14:ligatures w14:val="none"/>
              </w:rPr>
              <w:t xml:space="preserve">ingu). </w:t>
            </w:r>
          </w:p>
          <w:p w14:paraId="3AB4DF39" w14:textId="77777777" w:rsidR="00D631DE" w:rsidRPr="00D631DE" w:rsidRDefault="00D631DE" w:rsidP="00D631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14:ligatures w14:val="none"/>
              </w:rPr>
            </w:pPr>
            <w:r w:rsidRPr="00D631DE">
              <w:rPr>
                <w:rFonts w:eastAsia="Calibri" w:cstheme="minorHAnsi"/>
                <w:kern w:val="3"/>
                <w14:ligatures w14:val="none"/>
              </w:rPr>
              <w:t>Okres trwałości projektu, w którym występowały wydatki w ramach cross-financingu</w:t>
            </w:r>
            <w:r w:rsidRPr="00D631DE" w:rsidDel="009E0668">
              <w:rPr>
                <w:rFonts w:eastAsia="Calibri" w:cstheme="minorHAnsi"/>
                <w:kern w:val="3"/>
                <w14:ligatures w14:val="none"/>
              </w:rPr>
              <w:t xml:space="preserve"> </w:t>
            </w:r>
            <w:r w:rsidRPr="00D631DE">
              <w:rPr>
                <w:rFonts w:eastAsia="Calibri" w:cstheme="minorHAnsi"/>
                <w:kern w:val="3"/>
                <w14:ligatures w14:val="none"/>
              </w:rPr>
              <w:t>wynosi pięć lat od daty dokonania płatności końcowej na rzecz beneficjenta. Okres ten skraca się do trzech lat w zakresie utrzymania inwestycji lub miejsc pracy w projekcie beneficjenta, którym jest mikro, mały lub średni przedsiębiorca. W przypadku projektów finansowanych w ramach EFS+, okres trwałości rezultatów jest wskazany każdorazowo w kryterium lub regulaminie wyboru projektów.</w:t>
            </w:r>
          </w:p>
        </w:tc>
      </w:tr>
    </w:tbl>
    <w:p w14:paraId="6C966326" w14:textId="77777777" w:rsidR="00D631DE" w:rsidRPr="003F4607" w:rsidRDefault="00D631DE" w:rsidP="008503AA">
      <w:pPr>
        <w:rPr>
          <w:rFonts w:cstheme="minorHAnsi"/>
        </w:rPr>
      </w:pPr>
    </w:p>
    <w:p w14:paraId="2D9CA042" w14:textId="3A25AA5F" w:rsidR="00D631DE" w:rsidRPr="003F4607" w:rsidRDefault="00D631DE" w:rsidP="00D631DE">
      <w:pPr>
        <w:keepNext/>
        <w:keepLines/>
        <w:numPr>
          <w:ilvl w:val="1"/>
          <w:numId w:val="0"/>
        </w:numPr>
        <w:tabs>
          <w:tab w:val="left" w:pos="426"/>
        </w:tabs>
        <w:suppressAutoHyphens/>
        <w:autoSpaceDN w:val="0"/>
        <w:spacing w:before="200" w:after="200" w:line="276" w:lineRule="auto"/>
        <w:textAlignment w:val="baseline"/>
        <w:outlineLvl w:val="1"/>
        <w:rPr>
          <w:rFonts w:eastAsia="Times New Roman" w:cstheme="minorHAnsi"/>
          <w:b/>
          <w:kern w:val="3"/>
          <w14:ligatures w14:val="none"/>
        </w:rPr>
      </w:pPr>
      <w:bookmarkStart w:id="3" w:name="_Toc134788916"/>
      <w:bookmarkStart w:id="4" w:name="_Toc134791361"/>
      <w:bookmarkStart w:id="5" w:name="_Toc135639008"/>
      <w:bookmarkStart w:id="6" w:name="_Toc135639149"/>
      <w:bookmarkStart w:id="7" w:name="_Toc135646024"/>
      <w:bookmarkStart w:id="8" w:name="_Toc135646463"/>
      <w:bookmarkStart w:id="9" w:name="_Toc135729911"/>
      <w:bookmarkStart w:id="10" w:name="_Toc135730642"/>
      <w:bookmarkStart w:id="11" w:name="_Toc135739806"/>
      <w:bookmarkStart w:id="12" w:name="_Toc135740171"/>
      <w:bookmarkStart w:id="13" w:name="_Toc135741373"/>
      <w:bookmarkStart w:id="14" w:name="_Toc135741415"/>
      <w:bookmarkStart w:id="15" w:name="_Toc135741891"/>
      <w:bookmarkStart w:id="16" w:name="_Toc135743569"/>
      <w:bookmarkStart w:id="17" w:name="_Toc135744655"/>
      <w:bookmarkStart w:id="18" w:name="_Toc135744705"/>
      <w:bookmarkStart w:id="19" w:name="_Toc135744755"/>
      <w:bookmarkStart w:id="20" w:name="_Toc135806860"/>
      <w:bookmarkStart w:id="21" w:name="_Toc135806902"/>
      <w:bookmarkStart w:id="22" w:name="_Toc135807783"/>
      <w:bookmarkStart w:id="23" w:name="_Toc135808262"/>
      <w:bookmarkStart w:id="24" w:name="_Toc135808449"/>
      <w:bookmarkStart w:id="25" w:name="_Toc135808651"/>
      <w:bookmarkStart w:id="26" w:name="_Toc179976672"/>
      <w:r w:rsidRPr="003F4607">
        <w:rPr>
          <w:rFonts w:eastAsia="Times New Roman" w:cstheme="minorHAnsi"/>
          <w:b/>
          <w:kern w:val="3"/>
          <w14:ligatures w14:val="none"/>
        </w:rPr>
        <w:t xml:space="preserve">2.6 </w:t>
      </w:r>
      <w:r w:rsidRPr="00D631DE">
        <w:rPr>
          <w:rFonts w:eastAsia="Times New Roman" w:cstheme="minorHAnsi"/>
          <w:b/>
          <w:kern w:val="3"/>
          <w14:ligatures w14:val="none"/>
        </w:rPr>
        <w:t>Reguła proporcjonalności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477FE32" w14:textId="68D1EF05" w:rsidR="00D631DE" w:rsidRPr="00D631DE" w:rsidRDefault="00D631DE" w:rsidP="00D631DE">
      <w:pPr>
        <w:keepNext/>
        <w:keepLines/>
        <w:numPr>
          <w:ilvl w:val="1"/>
          <w:numId w:val="0"/>
        </w:numPr>
        <w:tabs>
          <w:tab w:val="left" w:pos="426"/>
        </w:tabs>
        <w:suppressAutoHyphens/>
        <w:autoSpaceDN w:val="0"/>
        <w:spacing w:before="200" w:after="200" w:line="276" w:lineRule="auto"/>
        <w:textAlignment w:val="baseline"/>
        <w:outlineLvl w:val="1"/>
        <w:rPr>
          <w:rFonts w:eastAsia="Times New Roman" w:cstheme="minorHAnsi"/>
          <w:b/>
          <w:kern w:val="3"/>
          <w14:ligatures w14:val="none"/>
        </w:rPr>
      </w:pPr>
      <w:r w:rsidRPr="003F4607">
        <w:rPr>
          <w:rFonts w:eastAsia="Times New Roman" w:cstheme="minorHAnsi"/>
          <w:b/>
          <w:kern w:val="3"/>
          <w14:ligatures w14:val="none"/>
        </w:rPr>
        <w:t>Było:</w:t>
      </w:r>
    </w:p>
    <w:p w14:paraId="6CBCC7EF" w14:textId="77777777" w:rsidR="00D631DE" w:rsidRPr="00D631DE" w:rsidRDefault="00D631DE" w:rsidP="00D631DE">
      <w:pPr>
        <w:autoSpaceDE w:val="0"/>
        <w:autoSpaceDN w:val="0"/>
        <w:spacing w:before="120" w:after="120" w:line="276" w:lineRule="auto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t xml:space="preserve">IZ może podjąć decyzję o zastosowaniu reguły proporcjonalności w przypadku: </w:t>
      </w:r>
    </w:p>
    <w:p w14:paraId="214F125D" w14:textId="3D4DD731" w:rsidR="00D631DE" w:rsidRPr="00D631DE" w:rsidRDefault="00D631DE" w:rsidP="00D631DE">
      <w:pPr>
        <w:numPr>
          <w:ilvl w:val="0"/>
          <w:numId w:val="16"/>
        </w:numPr>
        <w:suppressAutoHyphens/>
        <w:autoSpaceDE w:val="0"/>
        <w:autoSpaceDN w:val="0"/>
        <w:spacing w:before="120" w:after="120" w:line="276" w:lineRule="auto"/>
        <w:ind w:left="1003" w:hanging="357"/>
        <w:contextualSpacing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t>nieosiągnięcia założeń merytorycznych projektu mierzonych wskaźnikami produktu lub rezultatu określonymi we wniosku o dofinansowanie projektu</w:t>
      </w:r>
      <w:r w:rsidRPr="003F4607">
        <w:rPr>
          <w:rFonts w:cstheme="minorHAnsi"/>
        </w:rPr>
        <w:t xml:space="preserve"> </w:t>
      </w:r>
      <w:r w:rsidRPr="003F4607">
        <w:rPr>
          <w:rStyle w:val="Odwoanieprzypisudolnego"/>
          <w:rFonts w:cstheme="minorHAnsi"/>
        </w:rPr>
        <w:footnoteReference w:id="1"/>
      </w:r>
      <w:r w:rsidRPr="00D631DE">
        <w:rPr>
          <w:rFonts w:eastAsia="Calibri" w:cstheme="minorHAnsi"/>
          <w:color w:val="000000"/>
          <w:kern w:val="0"/>
          <w14:ligatures w14:val="none"/>
        </w:rPr>
        <w:t>,</w:t>
      </w:r>
    </w:p>
    <w:p w14:paraId="71803B0C" w14:textId="0A999925" w:rsidR="00D631DE" w:rsidRPr="00D631DE" w:rsidRDefault="00D631DE" w:rsidP="00D631DE">
      <w:pPr>
        <w:numPr>
          <w:ilvl w:val="0"/>
          <w:numId w:val="16"/>
        </w:numPr>
        <w:suppressAutoHyphens/>
        <w:autoSpaceDE w:val="0"/>
        <w:autoSpaceDN w:val="0"/>
        <w:spacing w:before="120" w:after="120" w:line="276" w:lineRule="auto"/>
        <w:ind w:left="1003" w:hanging="357"/>
        <w:contextualSpacing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t>niespełnienia kryteriów wyboru projektów obowiązujących w ramach danego naboru wniosków o dofinansowanie projektu, dla których nie określono wskaźników produktu lub rezultatu</w:t>
      </w:r>
      <w:r w:rsidR="003F4607">
        <w:rPr>
          <w:rFonts w:eastAsia="Calibri" w:cstheme="minorHAnsi"/>
          <w:color w:val="000000"/>
          <w:kern w:val="0"/>
          <w14:ligatures w14:val="none"/>
        </w:rPr>
        <w:t>.</w:t>
      </w:r>
    </w:p>
    <w:p w14:paraId="5863DD9D" w14:textId="77777777" w:rsidR="00D631DE" w:rsidRPr="003F4607" w:rsidRDefault="00D631DE" w:rsidP="008503AA">
      <w:pPr>
        <w:rPr>
          <w:rFonts w:cstheme="minorHAnsi"/>
        </w:rPr>
      </w:pPr>
    </w:p>
    <w:p w14:paraId="64924160" w14:textId="2043CFAD" w:rsidR="00D631DE" w:rsidRPr="003F4607" w:rsidRDefault="00D631DE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 (brak przypisu):</w:t>
      </w:r>
    </w:p>
    <w:p w14:paraId="69B8F292" w14:textId="77777777" w:rsidR="00D631DE" w:rsidRPr="00D631DE" w:rsidRDefault="00D631DE" w:rsidP="00D631DE">
      <w:pPr>
        <w:autoSpaceDE w:val="0"/>
        <w:autoSpaceDN w:val="0"/>
        <w:spacing w:before="120" w:after="120" w:line="276" w:lineRule="auto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t xml:space="preserve">IZ może podjąć decyzję o zastosowaniu reguły proporcjonalności w przypadku: </w:t>
      </w:r>
    </w:p>
    <w:p w14:paraId="773EC086" w14:textId="77777777" w:rsidR="00D631DE" w:rsidRPr="00D631DE" w:rsidRDefault="00D631DE" w:rsidP="00D631DE">
      <w:pPr>
        <w:numPr>
          <w:ilvl w:val="0"/>
          <w:numId w:val="16"/>
        </w:numPr>
        <w:suppressAutoHyphens/>
        <w:autoSpaceDE w:val="0"/>
        <w:autoSpaceDN w:val="0"/>
        <w:spacing w:before="120" w:after="120" w:line="276" w:lineRule="auto"/>
        <w:ind w:left="1003" w:hanging="357"/>
        <w:contextualSpacing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lastRenderedPageBreak/>
        <w:t>nieosiągnięcia założeń merytorycznych projektu mierzonych wskaźnikami produktu lub rezultatu określonymi we wniosku o dofinansowanie projektu,</w:t>
      </w:r>
    </w:p>
    <w:p w14:paraId="3D6CCDB0" w14:textId="4194D2DE" w:rsidR="00D631DE" w:rsidRPr="00D631DE" w:rsidRDefault="00D631DE" w:rsidP="00D631DE">
      <w:pPr>
        <w:numPr>
          <w:ilvl w:val="0"/>
          <w:numId w:val="16"/>
        </w:numPr>
        <w:suppressAutoHyphens/>
        <w:autoSpaceDE w:val="0"/>
        <w:autoSpaceDN w:val="0"/>
        <w:spacing w:before="120" w:after="120" w:line="276" w:lineRule="auto"/>
        <w:ind w:left="1003" w:hanging="357"/>
        <w:contextualSpacing/>
        <w:textAlignment w:val="baseline"/>
        <w:rPr>
          <w:rFonts w:eastAsia="Calibri" w:cstheme="minorHAnsi"/>
          <w:color w:val="000000"/>
          <w:kern w:val="0"/>
          <w14:ligatures w14:val="none"/>
        </w:rPr>
      </w:pPr>
      <w:r w:rsidRPr="00D631DE">
        <w:rPr>
          <w:rFonts w:eastAsia="Calibri" w:cstheme="minorHAnsi"/>
          <w:color w:val="000000"/>
          <w:kern w:val="0"/>
          <w14:ligatures w14:val="none"/>
        </w:rPr>
        <w:t>niespełnienia kryteriów wyboru projektów obowiązujących w ramach danego naboru wniosków o dofinansowanie projektu, dla których nie określono wskaźników produktu lub rezultatu</w:t>
      </w:r>
      <w:r w:rsidR="003F4607">
        <w:rPr>
          <w:rFonts w:eastAsia="Calibri" w:cstheme="minorHAnsi"/>
          <w:color w:val="000000"/>
          <w:kern w:val="0"/>
          <w14:ligatures w14:val="none"/>
        </w:rPr>
        <w:t>.</w:t>
      </w:r>
    </w:p>
    <w:p w14:paraId="26922BD2" w14:textId="77777777" w:rsidR="00D631DE" w:rsidRPr="003F4607" w:rsidRDefault="00D631DE" w:rsidP="008503AA">
      <w:pPr>
        <w:rPr>
          <w:rFonts w:cstheme="minorHAnsi"/>
        </w:rPr>
      </w:pPr>
    </w:p>
    <w:p w14:paraId="3B8855D4" w14:textId="77777777" w:rsidR="003F4607" w:rsidRPr="003F4607" w:rsidRDefault="003F4607" w:rsidP="003F4607">
      <w:pPr>
        <w:keepNext/>
        <w:keepLines/>
        <w:numPr>
          <w:ilvl w:val="1"/>
          <w:numId w:val="17"/>
        </w:numPr>
        <w:tabs>
          <w:tab w:val="left" w:pos="426"/>
        </w:tabs>
        <w:suppressAutoHyphens/>
        <w:autoSpaceDN w:val="0"/>
        <w:spacing w:before="200" w:after="200" w:line="276" w:lineRule="auto"/>
        <w:ind w:left="426"/>
        <w:textAlignment w:val="baseline"/>
        <w:outlineLvl w:val="1"/>
        <w:rPr>
          <w:rFonts w:eastAsia="Times New Roman" w:cstheme="minorHAnsi"/>
          <w:b/>
          <w:kern w:val="3"/>
          <w14:ligatures w14:val="none"/>
        </w:rPr>
      </w:pPr>
      <w:bookmarkStart w:id="27" w:name="_Toc179976681"/>
      <w:r w:rsidRPr="003F4607">
        <w:rPr>
          <w:rFonts w:eastAsia="Times New Roman" w:cstheme="minorHAnsi"/>
          <w:b/>
          <w:kern w:val="3"/>
          <w14:ligatures w14:val="none"/>
        </w:rPr>
        <w:t>Okres kwalifikowalności</w:t>
      </w:r>
      <w:bookmarkEnd w:id="27"/>
    </w:p>
    <w:p w14:paraId="73C63999" w14:textId="57CF8778" w:rsidR="00D631DE" w:rsidRPr="003F4607" w:rsidRDefault="003F4607" w:rsidP="003F4607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Było:</w:t>
      </w:r>
    </w:p>
    <w:p w14:paraId="55A1C57F" w14:textId="6915F65F" w:rsidR="003F4607" w:rsidRPr="003F4607" w:rsidRDefault="003F4607" w:rsidP="003F4607">
      <w:pPr>
        <w:rPr>
          <w:rFonts w:cstheme="minorHAnsi"/>
        </w:rPr>
      </w:pPr>
      <w:r w:rsidRPr="003F4607">
        <w:rPr>
          <w:rFonts w:cstheme="minorHAnsi"/>
        </w:rPr>
        <w:t>5. Możliwe jest ponoszenie wydatków po okresie wskazanym w umowie o dofinansowanie projektu pod warunkiem, że wydatki te zostały poniesione w związku z realizacją projektu oraz zostaną uwzględnione we wniosku o płatność końcową (np. składki Zakładu Ubezpieczeń Społecznych z tytułu wynagrodzeń personelu projektu poniesione na końcowym etapie realizacji projektu). Postanowienie to nie dotyczy wydatków, o których mowa w podrozdziale 2.1 pkt 3 wytycznych kwalifikowalności, tj. stawek jednostkowych i kwot ryczałtowych</w:t>
      </w:r>
    </w:p>
    <w:p w14:paraId="55AA7D9D" w14:textId="1E6CD131" w:rsidR="003F4607" w:rsidRPr="003F4607" w:rsidRDefault="003F4607" w:rsidP="003F4607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Jest:</w:t>
      </w:r>
    </w:p>
    <w:p w14:paraId="13A4AEA2" w14:textId="63DED495" w:rsidR="003F4607" w:rsidRPr="003F4607" w:rsidRDefault="003F4607" w:rsidP="003F4607">
      <w:pPr>
        <w:rPr>
          <w:rFonts w:cstheme="minorHAnsi"/>
        </w:rPr>
      </w:pPr>
      <w:r w:rsidRPr="003F4607">
        <w:rPr>
          <w:rFonts w:cstheme="minorHAnsi"/>
        </w:rPr>
        <w:t>5. Możliwe jest ponoszenie wydatków po okresie wskazanym w umowie o dofinansowanie projektu pod warunkiem, że wydatki te zostały poniesione w związku z realizacją projektu oraz zostaną uwzględnione we wniosku o płatność końcową (np. składki Zakładu Ubezpieczeń Społecznych z tytułu wynagrodzeń personelu projektu poniesione na końcowym etapie realizacji projektu).</w:t>
      </w:r>
    </w:p>
    <w:p w14:paraId="53F30892" w14:textId="77777777" w:rsidR="00D631DE" w:rsidRPr="003F4607" w:rsidRDefault="00D631DE" w:rsidP="008503AA">
      <w:pPr>
        <w:rPr>
          <w:rFonts w:cstheme="minorHAnsi"/>
        </w:rPr>
      </w:pPr>
    </w:p>
    <w:p w14:paraId="188458F6" w14:textId="202014F4" w:rsidR="00D631DE" w:rsidRPr="003F4607" w:rsidRDefault="003F4607" w:rsidP="008503AA">
      <w:pPr>
        <w:rPr>
          <w:rFonts w:cstheme="minorHAnsi"/>
          <w:b/>
          <w:bCs/>
        </w:rPr>
      </w:pPr>
      <w:r w:rsidRPr="003F4607">
        <w:rPr>
          <w:rFonts w:cstheme="minorHAnsi"/>
          <w:b/>
          <w:bCs/>
        </w:rPr>
        <w:t>Uzasadnienie wprowadzonych zmian:</w:t>
      </w:r>
    </w:p>
    <w:p w14:paraId="133C6278" w14:textId="0F7EB6F8" w:rsidR="008503AA" w:rsidRPr="003F4607" w:rsidRDefault="00B10145" w:rsidP="008503AA">
      <w:pPr>
        <w:rPr>
          <w:rFonts w:cstheme="minorHAnsi"/>
        </w:rPr>
      </w:pPr>
      <w:r w:rsidRPr="003F4607">
        <w:rPr>
          <w:rFonts w:cstheme="minorHAnsi"/>
        </w:rPr>
        <w:t xml:space="preserve">Przedłużenie terminu naboru podyktowane jest prośbami zgłaszanymi przez potencjalnych Wnioskodawców. </w:t>
      </w:r>
      <w:r w:rsidR="00D631DE" w:rsidRPr="003F4607">
        <w:rPr>
          <w:rFonts w:cstheme="minorHAnsi"/>
        </w:rPr>
        <w:t xml:space="preserve">Pozostałe zmiany </w:t>
      </w:r>
      <w:r w:rsidR="007E6F08">
        <w:rPr>
          <w:rFonts w:cstheme="minorHAnsi"/>
        </w:rPr>
        <w:t xml:space="preserve">wynikają z konieczności uporządkowania i doprecyzowania zapisów Regulaminu. </w:t>
      </w:r>
      <w:r w:rsidR="00D631DE" w:rsidRPr="003F4607">
        <w:rPr>
          <w:rFonts w:cstheme="minorHAnsi"/>
        </w:rPr>
        <w:t xml:space="preserve"> </w:t>
      </w:r>
    </w:p>
    <w:p w14:paraId="0E9A4208" w14:textId="77777777" w:rsidR="008503AA" w:rsidRPr="003F4607" w:rsidRDefault="008503AA" w:rsidP="008503AA">
      <w:pPr>
        <w:rPr>
          <w:rFonts w:cstheme="minorHAnsi"/>
        </w:rPr>
      </w:pPr>
      <w:r w:rsidRPr="003F4607">
        <w:rPr>
          <w:rFonts w:cstheme="minorHAnsi"/>
        </w:rPr>
        <w:t>Ww. zmiany nie powodują zachwiania konkurencyjności.</w:t>
      </w:r>
    </w:p>
    <w:p w14:paraId="354B9724" w14:textId="29165F17" w:rsidR="00FC2CA4" w:rsidRPr="003F4607" w:rsidRDefault="008503AA" w:rsidP="008503AA">
      <w:pPr>
        <w:rPr>
          <w:rFonts w:cstheme="minorHAnsi"/>
        </w:rPr>
      </w:pPr>
      <w:r w:rsidRPr="003F4607">
        <w:rPr>
          <w:rFonts w:cstheme="minorHAnsi"/>
        </w:rPr>
        <w:t xml:space="preserve">W załączeniu uaktualniony Regulamin wyboru projektów, obowiązujący od </w:t>
      </w:r>
      <w:r w:rsidR="003F4607" w:rsidRPr="003F4607">
        <w:rPr>
          <w:rFonts w:cstheme="minorHAnsi"/>
          <w:b/>
          <w:bCs/>
        </w:rPr>
        <w:t>2</w:t>
      </w:r>
      <w:r w:rsidR="007F56D2">
        <w:rPr>
          <w:rFonts w:cstheme="minorHAnsi"/>
          <w:b/>
          <w:bCs/>
        </w:rPr>
        <w:t>7</w:t>
      </w:r>
      <w:r w:rsidR="003F4607" w:rsidRPr="003F4607">
        <w:rPr>
          <w:rFonts w:cstheme="minorHAnsi"/>
          <w:b/>
          <w:bCs/>
        </w:rPr>
        <w:t xml:space="preserve"> listopada </w:t>
      </w:r>
      <w:r w:rsidR="005A3AF2" w:rsidRPr="003F4607">
        <w:rPr>
          <w:rFonts w:cstheme="minorHAnsi"/>
          <w:b/>
          <w:bCs/>
        </w:rPr>
        <w:t xml:space="preserve"> </w:t>
      </w:r>
      <w:r w:rsidRPr="003F4607">
        <w:rPr>
          <w:rFonts w:cstheme="minorHAnsi"/>
          <w:b/>
          <w:bCs/>
        </w:rPr>
        <w:t>2024 r.</w:t>
      </w:r>
    </w:p>
    <w:p w14:paraId="25C5DD7E" w14:textId="77777777" w:rsidR="00312C52" w:rsidRPr="003F4607" w:rsidRDefault="00312C52" w:rsidP="008503AA">
      <w:pPr>
        <w:rPr>
          <w:rFonts w:cstheme="minorHAnsi"/>
        </w:rPr>
      </w:pPr>
    </w:p>
    <w:sectPr w:rsidR="00312C52" w:rsidRPr="003F46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42AF3" w14:textId="77777777" w:rsidR="00FA2178" w:rsidRDefault="00FA2178" w:rsidP="001C1DC5">
      <w:pPr>
        <w:spacing w:after="0" w:line="240" w:lineRule="auto"/>
      </w:pPr>
      <w:r>
        <w:separator/>
      </w:r>
    </w:p>
  </w:endnote>
  <w:endnote w:type="continuationSeparator" w:id="0">
    <w:p w14:paraId="2FAD8638" w14:textId="77777777" w:rsidR="00FA2178" w:rsidRDefault="00FA2178" w:rsidP="001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8384672"/>
      <w:docPartObj>
        <w:docPartGallery w:val="Page Numbers (Bottom of Page)"/>
        <w:docPartUnique/>
      </w:docPartObj>
    </w:sdtPr>
    <w:sdtEndPr/>
    <w:sdtContent>
      <w:p w14:paraId="4D9EAB34" w14:textId="6CD224AE" w:rsidR="000F67F4" w:rsidRDefault="000F67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81AF3" w14:textId="77777777" w:rsidR="00B10145" w:rsidRDefault="00B10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F6C6" w14:textId="77777777" w:rsidR="00FA2178" w:rsidRDefault="00FA2178" w:rsidP="001C1DC5">
      <w:pPr>
        <w:spacing w:after="0" w:line="240" w:lineRule="auto"/>
      </w:pPr>
      <w:r>
        <w:separator/>
      </w:r>
    </w:p>
  </w:footnote>
  <w:footnote w:type="continuationSeparator" w:id="0">
    <w:p w14:paraId="3E8FBFB3" w14:textId="77777777" w:rsidR="00FA2178" w:rsidRDefault="00FA2178" w:rsidP="001C1DC5">
      <w:pPr>
        <w:spacing w:after="0" w:line="240" w:lineRule="auto"/>
      </w:pPr>
      <w:r>
        <w:continuationSeparator/>
      </w:r>
    </w:p>
  </w:footnote>
  <w:footnote w:id="1">
    <w:p w14:paraId="3F6ED47A" w14:textId="77777777" w:rsidR="00D631DE" w:rsidRPr="00864757" w:rsidRDefault="00D631DE" w:rsidP="00D631DE">
      <w:pPr>
        <w:pStyle w:val="Tekstprzypisudolnego"/>
        <w:rPr>
          <w:rFonts w:ascii="Open Sans" w:hAnsi="Open Sans" w:cs="Open Sans"/>
          <w:sz w:val="18"/>
          <w:szCs w:val="18"/>
        </w:rPr>
      </w:pPr>
      <w:r w:rsidRPr="00864757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864757">
        <w:rPr>
          <w:rFonts w:ascii="Open Sans" w:hAnsi="Open Sans" w:cs="Open Sans"/>
          <w:sz w:val="18"/>
          <w:szCs w:val="18"/>
        </w:rPr>
        <w:t xml:space="preserve"> Reguła proporcjonalności może mieć zastosowanie w projektach rozliczanych w oparciu o uproszczone metody, przy czym wyłącznie do takich wskaźników produktu lub rezultatu, które nie stanowią podstawy uproszczonych metod.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4B37" w14:textId="126EC517" w:rsidR="001C1DC5" w:rsidRDefault="000B28FB">
    <w:pPr>
      <w:pStyle w:val="Nagwek"/>
    </w:pPr>
    <w:r>
      <w:rPr>
        <w:noProof/>
      </w:rPr>
      <w:drawing>
        <wp:inline distT="0" distB="0" distL="0" distR="0" wp14:anchorId="3E8BCB23" wp14:editId="5E22603B">
          <wp:extent cx="5760720" cy="803275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A40"/>
    <w:multiLevelType w:val="hybridMultilevel"/>
    <w:tmpl w:val="4F446348"/>
    <w:lvl w:ilvl="0" w:tplc="BC3A9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4F3"/>
    <w:multiLevelType w:val="hybridMultilevel"/>
    <w:tmpl w:val="C492CB90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4DE7"/>
    <w:multiLevelType w:val="hybridMultilevel"/>
    <w:tmpl w:val="F67A5718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873"/>
    <w:multiLevelType w:val="hybridMultilevel"/>
    <w:tmpl w:val="129A075C"/>
    <w:lvl w:ilvl="0" w:tplc="6F16FE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22C20"/>
    <w:multiLevelType w:val="hybridMultilevel"/>
    <w:tmpl w:val="4C3CFED8"/>
    <w:lvl w:ilvl="0" w:tplc="80AE1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 w15:restartNumberingAfterBreak="0">
    <w:nsid w:val="369E0337"/>
    <w:multiLevelType w:val="hybridMultilevel"/>
    <w:tmpl w:val="14BCDBFA"/>
    <w:lvl w:ilvl="0" w:tplc="08FE5FD0">
      <w:start w:val="1"/>
      <w:numFmt w:val="bullet"/>
      <w:lvlText w:val="̶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622551"/>
    <w:multiLevelType w:val="hybridMultilevel"/>
    <w:tmpl w:val="82CA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0" w15:restartNumberingAfterBreak="0">
    <w:nsid w:val="41DD0633"/>
    <w:multiLevelType w:val="hybridMultilevel"/>
    <w:tmpl w:val="96FA8736"/>
    <w:lvl w:ilvl="0" w:tplc="54408DC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55334D5E"/>
    <w:multiLevelType w:val="multilevel"/>
    <w:tmpl w:val="C8B4184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FF6608"/>
    <w:multiLevelType w:val="hybridMultilevel"/>
    <w:tmpl w:val="F74836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A572C5"/>
    <w:multiLevelType w:val="hybridMultilevel"/>
    <w:tmpl w:val="883A7A5A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34C"/>
    <w:multiLevelType w:val="multilevel"/>
    <w:tmpl w:val="42A64FE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928462091">
    <w:abstractNumId w:val="3"/>
  </w:num>
  <w:num w:numId="2" w16cid:durableId="1248033505">
    <w:abstractNumId w:val="12"/>
  </w:num>
  <w:num w:numId="3" w16cid:durableId="1067266869">
    <w:abstractNumId w:val="7"/>
  </w:num>
  <w:num w:numId="4" w16cid:durableId="1864703696">
    <w:abstractNumId w:val="10"/>
  </w:num>
  <w:num w:numId="5" w16cid:durableId="646132457">
    <w:abstractNumId w:val="9"/>
  </w:num>
  <w:num w:numId="6" w16cid:durableId="1455247335">
    <w:abstractNumId w:val="6"/>
  </w:num>
  <w:num w:numId="7" w16cid:durableId="1349871047">
    <w:abstractNumId w:val="8"/>
  </w:num>
  <w:num w:numId="8" w16cid:durableId="724333971">
    <w:abstractNumId w:val="0"/>
  </w:num>
  <w:num w:numId="9" w16cid:durableId="1765570835">
    <w:abstractNumId w:val="2"/>
  </w:num>
  <w:num w:numId="10" w16cid:durableId="1635719675">
    <w:abstractNumId w:val="13"/>
  </w:num>
  <w:num w:numId="11" w16cid:durableId="2053996277">
    <w:abstractNumId w:val="1"/>
  </w:num>
  <w:num w:numId="12" w16cid:durableId="1009720285">
    <w:abstractNumId w:val="15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4122" w:hanging="720"/>
        </w:p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</w:lvl>
    </w:lvlOverride>
  </w:num>
  <w:num w:numId="13" w16cid:durableId="950403989">
    <w:abstractNumId w:val="15"/>
  </w:num>
  <w:num w:numId="14" w16cid:durableId="787431136">
    <w:abstractNumId w:val="14"/>
  </w:num>
  <w:num w:numId="15" w16cid:durableId="1877497428">
    <w:abstractNumId w:val="5"/>
  </w:num>
  <w:num w:numId="16" w16cid:durableId="1276248211">
    <w:abstractNumId w:val="4"/>
  </w:num>
  <w:num w:numId="17" w16cid:durableId="662127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5"/>
    <w:rsid w:val="00021FC3"/>
    <w:rsid w:val="00066903"/>
    <w:rsid w:val="00083A1B"/>
    <w:rsid w:val="00083B0C"/>
    <w:rsid w:val="000A6873"/>
    <w:rsid w:val="000B28FB"/>
    <w:rsid w:val="000C5EE7"/>
    <w:rsid w:val="000D20E5"/>
    <w:rsid w:val="000E1E91"/>
    <w:rsid w:val="000F29A4"/>
    <w:rsid w:val="000F67F4"/>
    <w:rsid w:val="00101013"/>
    <w:rsid w:val="001045A6"/>
    <w:rsid w:val="00121815"/>
    <w:rsid w:val="001765D2"/>
    <w:rsid w:val="00182812"/>
    <w:rsid w:val="00184295"/>
    <w:rsid w:val="001C1DC5"/>
    <w:rsid w:val="001D3CB7"/>
    <w:rsid w:val="001E7449"/>
    <w:rsid w:val="00201C22"/>
    <w:rsid w:val="002243DC"/>
    <w:rsid w:val="002354CE"/>
    <w:rsid w:val="002A6BD4"/>
    <w:rsid w:val="002B6BF1"/>
    <w:rsid w:val="0030550C"/>
    <w:rsid w:val="00312C52"/>
    <w:rsid w:val="00315701"/>
    <w:rsid w:val="00326DA5"/>
    <w:rsid w:val="003676DA"/>
    <w:rsid w:val="00384A5B"/>
    <w:rsid w:val="003B78FC"/>
    <w:rsid w:val="003E18AE"/>
    <w:rsid w:val="003F4607"/>
    <w:rsid w:val="00432526"/>
    <w:rsid w:val="00437A87"/>
    <w:rsid w:val="00447FE7"/>
    <w:rsid w:val="004614EC"/>
    <w:rsid w:val="00483CA9"/>
    <w:rsid w:val="004D5D65"/>
    <w:rsid w:val="004F7C59"/>
    <w:rsid w:val="00520FD4"/>
    <w:rsid w:val="00537F07"/>
    <w:rsid w:val="00570AD7"/>
    <w:rsid w:val="005A3AF2"/>
    <w:rsid w:val="005C4325"/>
    <w:rsid w:val="005E6F5B"/>
    <w:rsid w:val="005F414D"/>
    <w:rsid w:val="006155B0"/>
    <w:rsid w:val="00637D39"/>
    <w:rsid w:val="0067134E"/>
    <w:rsid w:val="00673840"/>
    <w:rsid w:val="006C0DE5"/>
    <w:rsid w:val="006E2D0C"/>
    <w:rsid w:val="007045EB"/>
    <w:rsid w:val="00752B98"/>
    <w:rsid w:val="00764147"/>
    <w:rsid w:val="007710A6"/>
    <w:rsid w:val="007B0413"/>
    <w:rsid w:val="007E6F08"/>
    <w:rsid w:val="007F56D2"/>
    <w:rsid w:val="008326BD"/>
    <w:rsid w:val="008503AA"/>
    <w:rsid w:val="008A5DBA"/>
    <w:rsid w:val="008B2623"/>
    <w:rsid w:val="0090670C"/>
    <w:rsid w:val="00910F03"/>
    <w:rsid w:val="009111CA"/>
    <w:rsid w:val="00961E74"/>
    <w:rsid w:val="00977800"/>
    <w:rsid w:val="009A57B1"/>
    <w:rsid w:val="009B0A41"/>
    <w:rsid w:val="009B5748"/>
    <w:rsid w:val="009B5CFE"/>
    <w:rsid w:val="009F0E70"/>
    <w:rsid w:val="009F37E5"/>
    <w:rsid w:val="00A004AF"/>
    <w:rsid w:val="00A02A5B"/>
    <w:rsid w:val="00A45B30"/>
    <w:rsid w:val="00A77B12"/>
    <w:rsid w:val="00A915B7"/>
    <w:rsid w:val="00AC2C1A"/>
    <w:rsid w:val="00AD67CD"/>
    <w:rsid w:val="00B10145"/>
    <w:rsid w:val="00B16B7C"/>
    <w:rsid w:val="00B2613C"/>
    <w:rsid w:val="00B43C1A"/>
    <w:rsid w:val="00B57112"/>
    <w:rsid w:val="00B673AE"/>
    <w:rsid w:val="00B870D3"/>
    <w:rsid w:val="00B92DDF"/>
    <w:rsid w:val="00BA266F"/>
    <w:rsid w:val="00C02420"/>
    <w:rsid w:val="00C15C8D"/>
    <w:rsid w:val="00C454A5"/>
    <w:rsid w:val="00C63597"/>
    <w:rsid w:val="00CD632B"/>
    <w:rsid w:val="00CE3DAD"/>
    <w:rsid w:val="00CE6D82"/>
    <w:rsid w:val="00CF48CB"/>
    <w:rsid w:val="00D10C0B"/>
    <w:rsid w:val="00D3465F"/>
    <w:rsid w:val="00D5183B"/>
    <w:rsid w:val="00D631DE"/>
    <w:rsid w:val="00D81F02"/>
    <w:rsid w:val="00D87721"/>
    <w:rsid w:val="00DC20D7"/>
    <w:rsid w:val="00DF3A48"/>
    <w:rsid w:val="00E248CC"/>
    <w:rsid w:val="00E25232"/>
    <w:rsid w:val="00E25E2D"/>
    <w:rsid w:val="00E410CE"/>
    <w:rsid w:val="00E7741D"/>
    <w:rsid w:val="00E92C67"/>
    <w:rsid w:val="00EC0DFF"/>
    <w:rsid w:val="00EE0D62"/>
    <w:rsid w:val="00EE7494"/>
    <w:rsid w:val="00F1388B"/>
    <w:rsid w:val="00F41351"/>
    <w:rsid w:val="00F50529"/>
    <w:rsid w:val="00F80016"/>
    <w:rsid w:val="00F93144"/>
    <w:rsid w:val="00F93880"/>
    <w:rsid w:val="00FA2178"/>
    <w:rsid w:val="00FB5DD4"/>
    <w:rsid w:val="00FC2CA4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90AE"/>
  <w15:chartTrackingRefBased/>
  <w15:docId w15:val="{34430D00-5BD7-4AFF-A826-1819B12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1DE"/>
    <w:pPr>
      <w:keepNext/>
      <w:keepLines/>
      <w:numPr>
        <w:ilvl w:val="2"/>
        <w:numId w:val="12"/>
      </w:numPr>
      <w:suppressAutoHyphens/>
      <w:autoSpaceDN w:val="0"/>
      <w:spacing w:before="40" w:after="0" w:line="240" w:lineRule="auto"/>
      <w:textAlignment w:val="baseline"/>
      <w:outlineLvl w:val="2"/>
    </w:pPr>
    <w:rPr>
      <w:rFonts w:ascii="Open Sans" w:eastAsia="Times New Roman" w:hAnsi="Open Sans" w:cs="Times New Roman"/>
      <w:b/>
      <w:kern w:val="3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31DE"/>
    <w:pPr>
      <w:keepNext/>
      <w:keepLines/>
      <w:numPr>
        <w:ilvl w:val="3"/>
        <w:numId w:val="12"/>
      </w:numPr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F5496"/>
      <w:kern w:val="3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31DE"/>
    <w:pPr>
      <w:keepNext/>
      <w:keepLines/>
      <w:numPr>
        <w:ilvl w:val="4"/>
        <w:numId w:val="12"/>
      </w:numPr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Times New Roman"/>
      <w:color w:val="2F5496"/>
      <w:kern w:val="3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1DE"/>
    <w:pPr>
      <w:keepNext/>
      <w:keepLines/>
      <w:numPr>
        <w:ilvl w:val="5"/>
        <w:numId w:val="12"/>
      </w:numPr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Times New Roman"/>
      <w:color w:val="1F3763"/>
      <w:kern w:val="3"/>
      <w14:ligatures w14:val="none"/>
    </w:rPr>
  </w:style>
  <w:style w:type="paragraph" w:styleId="Nagwek7">
    <w:name w:val="heading 7"/>
    <w:basedOn w:val="Normalny"/>
    <w:next w:val="Normalny"/>
    <w:link w:val="Nagwek7Znak"/>
    <w:rsid w:val="00D631DE"/>
    <w:pPr>
      <w:keepNext/>
      <w:keepLines/>
      <w:numPr>
        <w:ilvl w:val="6"/>
        <w:numId w:val="12"/>
      </w:numPr>
      <w:suppressAutoHyphens/>
      <w:autoSpaceDN w:val="0"/>
      <w:spacing w:before="40" w:after="0" w:line="240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kern w:val="3"/>
      <w14:ligatures w14:val="none"/>
    </w:rPr>
  </w:style>
  <w:style w:type="paragraph" w:styleId="Nagwek8">
    <w:name w:val="heading 8"/>
    <w:basedOn w:val="Normalny"/>
    <w:next w:val="Normalny"/>
    <w:link w:val="Nagwek8Znak"/>
    <w:rsid w:val="00D631DE"/>
    <w:pPr>
      <w:keepNext/>
      <w:keepLines/>
      <w:numPr>
        <w:ilvl w:val="7"/>
        <w:numId w:val="12"/>
      </w:numPr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kern w:val="3"/>
      <w:sz w:val="21"/>
      <w:szCs w:val="21"/>
      <w14:ligatures w14:val="none"/>
    </w:rPr>
  </w:style>
  <w:style w:type="paragraph" w:styleId="Nagwek9">
    <w:name w:val="heading 9"/>
    <w:basedOn w:val="Normalny"/>
    <w:next w:val="Normalny"/>
    <w:link w:val="Nagwek9Znak"/>
    <w:rsid w:val="00D631DE"/>
    <w:pPr>
      <w:keepNext/>
      <w:keepLines/>
      <w:numPr>
        <w:ilvl w:val="8"/>
        <w:numId w:val="12"/>
      </w:numPr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kern w:val="3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C5"/>
  </w:style>
  <w:style w:type="paragraph" w:styleId="Stopka">
    <w:name w:val="footer"/>
    <w:basedOn w:val="Normalny"/>
    <w:link w:val="Stopka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C5"/>
  </w:style>
  <w:style w:type="paragraph" w:styleId="Akapitzlist">
    <w:name w:val="List Paragraph"/>
    <w:basedOn w:val="Normalny"/>
    <w:uiPriority w:val="34"/>
    <w:qFormat/>
    <w:rsid w:val="0091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73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8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DE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AF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31DE"/>
    <w:rPr>
      <w:rFonts w:ascii="Open Sans" w:eastAsia="Times New Roman" w:hAnsi="Open Sans" w:cs="Times New Roman"/>
      <w:b/>
      <w:kern w:val="3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631DE"/>
    <w:rPr>
      <w:rFonts w:ascii="Calibri Light" w:eastAsia="Times New Roman" w:hAnsi="Calibri Light" w:cs="Times New Roman"/>
      <w:i/>
      <w:iCs/>
      <w:color w:val="2F5496"/>
      <w:kern w:val="3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631DE"/>
    <w:rPr>
      <w:rFonts w:ascii="Calibri Light" w:eastAsia="Times New Roman" w:hAnsi="Calibri Light" w:cs="Times New Roman"/>
      <w:color w:val="2F5496"/>
      <w:kern w:val="3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1DE"/>
    <w:rPr>
      <w:rFonts w:ascii="Calibri Light" w:eastAsia="Times New Roman" w:hAnsi="Calibri Light" w:cs="Times New Roman"/>
      <w:color w:val="1F3763"/>
      <w:kern w:val="3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631DE"/>
    <w:rPr>
      <w:rFonts w:ascii="Calibri Light" w:eastAsia="Times New Roman" w:hAnsi="Calibri Light" w:cs="Times New Roman"/>
      <w:i/>
      <w:iCs/>
      <w:color w:val="1F3763"/>
      <w:kern w:val="3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631DE"/>
    <w:rPr>
      <w:rFonts w:ascii="Calibri Light" w:eastAsia="Times New Roman" w:hAnsi="Calibri Light" w:cs="Times New Roman"/>
      <w:color w:val="272727"/>
      <w:kern w:val="3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631DE"/>
    <w:rPr>
      <w:rFonts w:ascii="Calibri Light" w:eastAsia="Times New Roman" w:hAnsi="Calibri Light" w:cs="Times New Roman"/>
      <w:i/>
      <w:iCs/>
      <w:color w:val="272727"/>
      <w:kern w:val="3"/>
      <w:sz w:val="21"/>
      <w:szCs w:val="21"/>
      <w14:ligatures w14:val="none"/>
    </w:rPr>
  </w:style>
  <w:style w:type="numbering" w:customStyle="1" w:styleId="WWOutlineListStyle33">
    <w:name w:val="WW_OutlineListStyle_33"/>
    <w:basedOn w:val="Bezlisty"/>
    <w:rsid w:val="00D631DE"/>
    <w:pPr>
      <w:numPr>
        <w:numId w:val="1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D631DE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631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D631D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uszeuepodlaskie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uszeuepodla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</dc:creator>
  <cp:keywords/>
  <dc:description/>
  <cp:lastModifiedBy>EFSV</cp:lastModifiedBy>
  <cp:revision>5</cp:revision>
  <cp:lastPrinted>2023-11-09T12:21:00Z</cp:lastPrinted>
  <dcterms:created xsi:type="dcterms:W3CDTF">2024-11-26T10:08:00Z</dcterms:created>
  <dcterms:modified xsi:type="dcterms:W3CDTF">2024-11-27T14:43:00Z</dcterms:modified>
</cp:coreProperties>
</file>