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bookmarkEnd w:id="0"/>
    <w:p w14:paraId="0C708363" w14:textId="77CC2632" w:rsidR="00CB08BA" w:rsidRPr="00B60F98" w:rsidRDefault="00CB08BA" w:rsidP="00CB08BA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B60F98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633551" w:rsidRPr="00B60F98">
        <w:rPr>
          <w:rFonts w:ascii="Open Sans" w:eastAsia="Times New Roman" w:hAnsi="Open Sans" w:cs="Open Sans"/>
          <w:lang w:val="it-IT" w:eastAsia="pl-PL"/>
        </w:rPr>
        <w:t>7</w:t>
      </w:r>
      <w:r w:rsidRPr="00B60F98">
        <w:rPr>
          <w:rFonts w:ascii="Open Sans" w:eastAsia="Times New Roman" w:hAnsi="Open Sans" w:cs="Open Sans"/>
          <w:lang w:val="it-IT" w:eastAsia="pl-PL"/>
        </w:rPr>
        <w:t xml:space="preserve"> ma</w:t>
      </w:r>
      <w:r w:rsidR="00633551" w:rsidRPr="00B60F98">
        <w:rPr>
          <w:rFonts w:ascii="Open Sans" w:eastAsia="Times New Roman" w:hAnsi="Open Sans" w:cs="Open Sans"/>
          <w:lang w:val="it-IT" w:eastAsia="pl-PL"/>
        </w:rPr>
        <w:t>ja</w:t>
      </w:r>
      <w:r w:rsidRPr="00B60F98">
        <w:rPr>
          <w:rFonts w:ascii="Open Sans" w:eastAsia="Times New Roman" w:hAnsi="Open Sans" w:cs="Open Sans"/>
          <w:lang w:val="it-IT" w:eastAsia="pl-PL"/>
        </w:rPr>
        <w:t xml:space="preserve"> 2024 r.</w:t>
      </w:r>
    </w:p>
    <w:p w14:paraId="536D2084" w14:textId="5E8A6BDA" w:rsidR="00CB08BA" w:rsidRPr="00B60F98" w:rsidRDefault="00CB08BA" w:rsidP="00CB08BA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  <w:r w:rsidRPr="00B60F98">
        <w:rPr>
          <w:rFonts w:ascii="Open Sans" w:eastAsia="Times New Roman" w:hAnsi="Open Sans" w:cs="Open Sans"/>
          <w:lang w:eastAsia="pl-PL"/>
        </w:rPr>
        <w:t>EFS-I.432.2.1.2024</w:t>
      </w:r>
      <w:r w:rsidRPr="00B60F98">
        <w:rPr>
          <w:rFonts w:ascii="Open Sans" w:eastAsia="Times New Roman" w:hAnsi="Open Sans" w:cs="Open Sans"/>
          <w:lang w:val="it-IT" w:eastAsia="pl-PL"/>
        </w:rPr>
        <w:t>.M</w:t>
      </w:r>
      <w:r w:rsidR="00633551" w:rsidRPr="00B60F98">
        <w:rPr>
          <w:rFonts w:ascii="Open Sans" w:eastAsia="Times New Roman" w:hAnsi="Open Sans" w:cs="Open Sans"/>
          <w:lang w:val="it-IT" w:eastAsia="pl-PL"/>
        </w:rPr>
        <w:t>M</w:t>
      </w:r>
    </w:p>
    <w:p w14:paraId="1C854099" w14:textId="77777777" w:rsidR="00CB08BA" w:rsidRPr="00B60F98" w:rsidRDefault="00CB08BA" w:rsidP="00CB08B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3F0BDC7D" w14:textId="1A5CA925" w:rsidR="00CB08BA" w:rsidRPr="00B60F98" w:rsidRDefault="00CB08BA" w:rsidP="00CB08B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B60F98">
        <w:rPr>
          <w:rFonts w:ascii="Open Sans" w:eastAsia="Times New Roman" w:hAnsi="Open Sans" w:cs="Open Sans"/>
          <w:lang w:eastAsia="pl-PL"/>
        </w:rPr>
        <w:t xml:space="preserve">Komunikat nr </w:t>
      </w:r>
      <w:r w:rsidR="00633551" w:rsidRPr="00B60F98">
        <w:rPr>
          <w:rFonts w:ascii="Open Sans" w:eastAsia="Times New Roman" w:hAnsi="Open Sans" w:cs="Open Sans"/>
          <w:lang w:eastAsia="pl-PL"/>
        </w:rPr>
        <w:t>5</w:t>
      </w:r>
      <w:r w:rsidRPr="00B60F98">
        <w:rPr>
          <w:rFonts w:ascii="Open Sans" w:eastAsia="Times New Roman" w:hAnsi="Open Sans" w:cs="Open Sans"/>
          <w:lang w:eastAsia="pl-PL"/>
        </w:rPr>
        <w:t xml:space="preserve"> dotyczący</w:t>
      </w:r>
      <w:r w:rsidRPr="00B60F98">
        <w:rPr>
          <w:rFonts w:ascii="Open Sans" w:eastAsia="Times New Roman" w:hAnsi="Open Sans" w:cs="Open Sans"/>
          <w:lang w:eastAsia="pl-PL"/>
        </w:rPr>
        <w:br/>
        <w:t xml:space="preserve"> naboru o nr </w:t>
      </w:r>
      <w:r w:rsidRPr="00B60F98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FEPD.08.01-IZ.00-00</w:t>
      </w:r>
      <w:r w:rsidR="004100DE" w:rsidRPr="00B60F98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3</w:t>
      </w:r>
      <w:r w:rsidRPr="00B60F98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/23</w:t>
      </w:r>
    </w:p>
    <w:p w14:paraId="45167603" w14:textId="77777777" w:rsidR="00CB08BA" w:rsidRPr="00B70064" w:rsidRDefault="00CB08BA" w:rsidP="00CB08B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B70064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w ramach Działania 8.1 Rozwój edukacji i kształcenia</w:t>
      </w:r>
    </w:p>
    <w:p w14:paraId="09BA1953" w14:textId="77777777" w:rsidR="00CB08BA" w:rsidRPr="00B70064" w:rsidRDefault="00CB08BA" w:rsidP="00CB08BA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B70064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programu Fundusze Europejskie dla Podlaskiego 2021-2027</w:t>
      </w:r>
    </w:p>
    <w:p w14:paraId="32C3E69D" w14:textId="77777777" w:rsidR="00B60F98" w:rsidRPr="00B70064" w:rsidRDefault="00B60F98" w:rsidP="00B60F98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7BBDA445" w14:textId="77777777" w:rsidR="00B70064" w:rsidRPr="00B70064" w:rsidRDefault="00B70064" w:rsidP="00B70064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  <w:r w:rsidRPr="00B70064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B70064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B70064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informuje, iż wprowadzono zmiany w </w:t>
      </w:r>
      <w:r w:rsidRPr="00B70064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Regulaminie wyboru projektów </w:t>
      </w:r>
      <w:r w:rsidRPr="00B70064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B70064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493F2993" w14:textId="77777777" w:rsidR="00B23307" w:rsidRPr="00B70064" w:rsidRDefault="00B23307" w:rsidP="00B60F98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14403620" w14:textId="77777777" w:rsidR="00B60F98" w:rsidRPr="00B70064" w:rsidRDefault="00B60F98" w:rsidP="00B60F98">
      <w:pPr>
        <w:keepNext/>
        <w:keepLines/>
        <w:numPr>
          <w:ilvl w:val="1"/>
          <w:numId w:val="22"/>
        </w:numPr>
        <w:spacing w:before="240" w:after="240" w:line="360" w:lineRule="auto"/>
        <w:ind w:left="426"/>
        <w:contextualSpacing/>
        <w:jc w:val="both"/>
        <w:outlineLvl w:val="1"/>
        <w:rPr>
          <w:rFonts w:ascii="Open Sans" w:eastAsiaTheme="majorEastAsia" w:hAnsi="Open Sans" w:cs="Open Sans"/>
          <w:b/>
          <w:bCs/>
        </w:rPr>
      </w:pPr>
      <w:bookmarkStart w:id="1" w:name="_Hlk149308050"/>
      <w:bookmarkStart w:id="2" w:name="_Toc151979159"/>
      <w:r w:rsidRPr="00B70064">
        <w:rPr>
          <w:rFonts w:ascii="Open Sans" w:eastAsiaTheme="majorEastAsia" w:hAnsi="Open Sans" w:cs="Open Sans"/>
          <w:b/>
          <w:bCs/>
        </w:rPr>
        <w:t>Kwota przeznaczona na dofinansowanie projektów w naborze</w:t>
      </w:r>
      <w:bookmarkEnd w:id="1"/>
      <w:bookmarkEnd w:id="2"/>
    </w:p>
    <w:p w14:paraId="0DC5DBBA" w14:textId="451C29C0" w:rsidR="00B60F98" w:rsidRPr="00B70064" w:rsidRDefault="00B60F98" w:rsidP="00CB08BA">
      <w:pPr>
        <w:spacing w:after="0"/>
        <w:jc w:val="both"/>
        <w:rPr>
          <w:rFonts w:ascii="Open Sans" w:eastAsia="Times New Roman" w:hAnsi="Open Sans" w:cs="Open Sans"/>
          <w:b/>
          <w:color w:val="000000" w:themeColor="text1"/>
          <w:lang w:eastAsia="pl-PL"/>
        </w:rPr>
      </w:pPr>
      <w:r w:rsidRPr="00B70064">
        <w:rPr>
          <w:rFonts w:ascii="Open Sans" w:eastAsia="Times New Roman" w:hAnsi="Open Sans" w:cs="Open Sans"/>
          <w:b/>
          <w:color w:val="000000" w:themeColor="text1"/>
          <w:lang w:eastAsia="pl-PL"/>
        </w:rPr>
        <w:t>Było:</w:t>
      </w:r>
    </w:p>
    <w:p w14:paraId="6FBB75D0" w14:textId="77777777" w:rsidR="00B60F98" w:rsidRPr="00B60F98" w:rsidRDefault="00B60F98" w:rsidP="00B60F98">
      <w:pPr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70064">
        <w:rPr>
          <w:rFonts w:ascii="Open Sans" w:eastAsiaTheme="minorEastAsia" w:hAnsi="Open Sans" w:cs="Open Sans"/>
        </w:rPr>
        <w:t>Projekty współfinansowane są</w:t>
      </w:r>
      <w:r w:rsidRPr="00B60F98">
        <w:rPr>
          <w:rFonts w:ascii="Open Sans" w:eastAsiaTheme="minorEastAsia" w:hAnsi="Open Sans" w:cs="Open Sans"/>
        </w:rPr>
        <w:t xml:space="preserve"> ze środków UE w ramach EFS+ oraz budżetu państwa.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71"/>
        <w:gridCol w:w="2926"/>
      </w:tblGrid>
      <w:tr w:rsidR="00B60F98" w:rsidRPr="00B60F98" w14:paraId="513E9D5B" w14:textId="77777777" w:rsidTr="005D4C71">
        <w:trPr>
          <w:jc w:val="center"/>
        </w:trPr>
        <w:tc>
          <w:tcPr>
            <w:tcW w:w="3114" w:type="dxa"/>
          </w:tcPr>
          <w:p w14:paraId="05A3A9C6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B60F98">
              <w:rPr>
                <w:rFonts w:ascii="Open Sans" w:hAnsi="Open Sans" w:cs="Open Sans"/>
                <w:b/>
                <w:bCs/>
                <w:color w:val="000000" w:themeColor="text1"/>
              </w:rPr>
              <w:t>źródła finansowania</w:t>
            </w:r>
          </w:p>
        </w:tc>
        <w:tc>
          <w:tcPr>
            <w:tcW w:w="2171" w:type="dxa"/>
            <w:vAlign w:val="center"/>
          </w:tcPr>
          <w:p w14:paraId="72B4B21F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B60F98">
              <w:rPr>
                <w:rFonts w:ascii="Open Sans" w:hAnsi="Open Sans" w:cs="Open Sans"/>
                <w:b/>
                <w:bCs/>
                <w:color w:val="000000" w:themeColor="text1"/>
              </w:rPr>
              <w:t>udział</w:t>
            </w:r>
          </w:p>
        </w:tc>
        <w:tc>
          <w:tcPr>
            <w:tcW w:w="2926" w:type="dxa"/>
            <w:vAlign w:val="center"/>
          </w:tcPr>
          <w:p w14:paraId="19223B03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b/>
                <w:bCs/>
                <w:color w:val="000000" w:themeColor="text1"/>
              </w:rPr>
            </w:pPr>
            <w:r w:rsidRPr="00B60F98">
              <w:rPr>
                <w:rFonts w:ascii="Open Sans" w:hAnsi="Open Sans" w:cs="Open Sans"/>
                <w:b/>
                <w:bCs/>
                <w:color w:val="000000" w:themeColor="text1"/>
              </w:rPr>
              <w:t>Kwota (PLN)</w:t>
            </w:r>
          </w:p>
        </w:tc>
      </w:tr>
      <w:tr w:rsidR="00B60F98" w:rsidRPr="00B60F98" w14:paraId="66913F73" w14:textId="77777777" w:rsidTr="005D4C71">
        <w:trPr>
          <w:jc w:val="center"/>
        </w:trPr>
        <w:tc>
          <w:tcPr>
            <w:tcW w:w="3114" w:type="dxa"/>
          </w:tcPr>
          <w:p w14:paraId="6A279FE5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  <w:color w:val="000000" w:themeColor="text1"/>
              </w:rPr>
              <w:t>Dofinansowanie, w tym:</w:t>
            </w:r>
          </w:p>
        </w:tc>
        <w:tc>
          <w:tcPr>
            <w:tcW w:w="2171" w:type="dxa"/>
          </w:tcPr>
          <w:p w14:paraId="0D2E0D5B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  <w:color w:val="000000" w:themeColor="text1"/>
              </w:rPr>
              <w:t>90%</w:t>
            </w:r>
          </w:p>
        </w:tc>
        <w:tc>
          <w:tcPr>
            <w:tcW w:w="2926" w:type="dxa"/>
            <w:vAlign w:val="center"/>
          </w:tcPr>
          <w:p w14:paraId="3AC30485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 xml:space="preserve">25 000 000,00  </w:t>
            </w:r>
          </w:p>
        </w:tc>
      </w:tr>
      <w:tr w:rsidR="00B60F98" w:rsidRPr="00B60F98" w14:paraId="48C26776" w14:textId="77777777" w:rsidTr="005D4C71">
        <w:trPr>
          <w:jc w:val="center"/>
        </w:trPr>
        <w:tc>
          <w:tcPr>
            <w:tcW w:w="3114" w:type="dxa"/>
          </w:tcPr>
          <w:p w14:paraId="6D3C1683" w14:textId="77777777" w:rsidR="00B60F98" w:rsidRPr="00B60F98" w:rsidRDefault="00B60F98" w:rsidP="00B60F98">
            <w:pPr>
              <w:numPr>
                <w:ilvl w:val="0"/>
                <w:numId w:val="23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  <w:color w:val="000000" w:themeColor="text1"/>
              </w:rPr>
              <w:t>środki UE z EFS+</w:t>
            </w:r>
          </w:p>
        </w:tc>
        <w:tc>
          <w:tcPr>
            <w:tcW w:w="2171" w:type="dxa"/>
          </w:tcPr>
          <w:p w14:paraId="35388378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  <w:color w:val="000000" w:themeColor="text1"/>
              </w:rPr>
              <w:t>85,00%</w:t>
            </w:r>
          </w:p>
        </w:tc>
        <w:tc>
          <w:tcPr>
            <w:tcW w:w="2926" w:type="dxa"/>
            <w:vAlign w:val="center"/>
          </w:tcPr>
          <w:p w14:paraId="54187161" w14:textId="77777777" w:rsidR="00B60F98" w:rsidRPr="00B60F98" w:rsidRDefault="00B60F98" w:rsidP="00B60F98">
            <w:pPr>
              <w:spacing w:before="240" w:after="240" w:line="360" w:lineRule="auto"/>
              <w:contextualSpacing/>
              <w:rPr>
                <w:rFonts w:ascii="Open Sans" w:hAnsi="Open Sans" w:cs="Open Sans"/>
                <w:color w:val="000000"/>
              </w:rPr>
            </w:pPr>
            <w:r w:rsidRPr="00B60F98">
              <w:rPr>
                <w:rFonts w:ascii="Open Sans" w:hAnsi="Open Sans" w:cs="Open Sans"/>
                <w:color w:val="000000"/>
              </w:rPr>
              <w:t>23 611 111,11</w:t>
            </w:r>
          </w:p>
        </w:tc>
      </w:tr>
      <w:tr w:rsidR="00B60F98" w:rsidRPr="00B60F98" w14:paraId="34691BAB" w14:textId="77777777" w:rsidTr="005D4C71">
        <w:trPr>
          <w:jc w:val="center"/>
        </w:trPr>
        <w:tc>
          <w:tcPr>
            <w:tcW w:w="3114" w:type="dxa"/>
          </w:tcPr>
          <w:p w14:paraId="6507EFCF" w14:textId="77777777" w:rsidR="00B60F98" w:rsidRPr="00B60F98" w:rsidRDefault="00B60F98" w:rsidP="00B60F98">
            <w:pPr>
              <w:numPr>
                <w:ilvl w:val="0"/>
                <w:numId w:val="23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  <w:color w:val="000000" w:themeColor="text1"/>
              </w:rPr>
              <w:t>Budżet Państwa</w:t>
            </w:r>
          </w:p>
        </w:tc>
        <w:tc>
          <w:tcPr>
            <w:tcW w:w="2171" w:type="dxa"/>
          </w:tcPr>
          <w:p w14:paraId="7C87BF26" w14:textId="77777777" w:rsidR="00B60F98" w:rsidRPr="00B60F98" w:rsidRDefault="00B60F98" w:rsidP="00B60F98">
            <w:pPr>
              <w:autoSpaceDE w:val="0"/>
              <w:spacing w:before="240" w:after="240" w:line="360" w:lineRule="auto"/>
              <w:contextualSpacing/>
              <w:rPr>
                <w:rFonts w:ascii="Open Sans" w:hAnsi="Open Sans" w:cs="Open Sans"/>
                <w:color w:val="000000" w:themeColor="text1"/>
              </w:rPr>
            </w:pPr>
            <w:r w:rsidRPr="00B60F98">
              <w:rPr>
                <w:rFonts w:ascii="Open Sans" w:hAnsi="Open Sans" w:cs="Open Sans"/>
              </w:rPr>
              <w:t xml:space="preserve"> 5% </w:t>
            </w:r>
          </w:p>
        </w:tc>
        <w:tc>
          <w:tcPr>
            <w:tcW w:w="2926" w:type="dxa"/>
            <w:vAlign w:val="center"/>
          </w:tcPr>
          <w:p w14:paraId="7EBD04AB" w14:textId="77777777" w:rsidR="00B60F98" w:rsidRPr="00B60F98" w:rsidRDefault="00B60F98" w:rsidP="00B60F98">
            <w:pPr>
              <w:spacing w:before="240" w:after="240" w:line="360" w:lineRule="auto"/>
              <w:contextualSpacing/>
              <w:rPr>
                <w:rFonts w:ascii="Open Sans" w:hAnsi="Open Sans" w:cs="Open Sans"/>
                <w:color w:val="000000"/>
              </w:rPr>
            </w:pPr>
            <w:r w:rsidRPr="00B60F98">
              <w:rPr>
                <w:rFonts w:ascii="Open Sans" w:hAnsi="Open Sans" w:cs="Open Sans"/>
                <w:color w:val="000000"/>
              </w:rPr>
              <w:t>1 388 888,89</w:t>
            </w:r>
          </w:p>
        </w:tc>
      </w:tr>
    </w:tbl>
    <w:p w14:paraId="3F57393A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</w:p>
    <w:p w14:paraId="103B3233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60F98">
        <w:rPr>
          <w:rFonts w:ascii="Open Sans" w:eastAsiaTheme="minorEastAsia" w:hAnsi="Open Sans" w:cs="Open Sans"/>
        </w:rPr>
        <w:t>Maksymalny % poziomu dofinansowania UE wydatków kwalifikowalnych na poziomie projektu w ramach naboru wynosi 90% wydatków kwalifikowalnych.</w:t>
      </w:r>
    </w:p>
    <w:p w14:paraId="4A0196FC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  <w:b/>
          <w:bCs/>
        </w:rPr>
      </w:pPr>
      <w:r w:rsidRPr="00B60F98">
        <w:rPr>
          <w:rFonts w:ascii="Open Sans" w:eastAsiaTheme="minorEastAsia" w:hAnsi="Open Sans" w:cs="Open Sans"/>
          <w:b/>
          <w:bCs/>
        </w:rPr>
        <w:t>Wnioskodawca jest zobowiązany do wniesienia wkładu własnego w wysokości minimum 10% wydatków kwalifikowalnych.</w:t>
      </w:r>
    </w:p>
    <w:p w14:paraId="3A0A0DD3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60F98">
        <w:rPr>
          <w:rFonts w:ascii="Open Sans" w:eastAsiaTheme="minorEastAsia" w:hAnsi="Open Sans" w:cs="Open Sans"/>
        </w:rPr>
        <w:t xml:space="preserve">ION zastrzega sobie możliwość zmiany, w trakcie trwania naboru, kwoty przeznaczonej na dofinansowanie projektów, w tym w wyniku zmiany kursu euro. </w:t>
      </w:r>
    </w:p>
    <w:p w14:paraId="0390997E" w14:textId="77777777" w:rsidR="00B60F98" w:rsidRDefault="00B60F98" w:rsidP="00CB08B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5956B3FA" w14:textId="77777777" w:rsidR="00B23307" w:rsidRDefault="00B23307" w:rsidP="00CB08B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2D048C56" w14:textId="77777777" w:rsidR="00B23307" w:rsidRDefault="00B23307" w:rsidP="00CB08B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5A94A636" w14:textId="77777777" w:rsidR="00B23307" w:rsidRDefault="00B23307" w:rsidP="00CB08B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5FBEE1CA" w14:textId="77777777" w:rsidR="00B23307" w:rsidRDefault="00B23307" w:rsidP="00CB08BA">
      <w:pPr>
        <w:spacing w:after="0"/>
        <w:jc w:val="both"/>
        <w:rPr>
          <w:rFonts w:ascii="Open Sans" w:eastAsia="Times New Roman" w:hAnsi="Open Sans" w:cs="Open Sans"/>
          <w:b/>
          <w:color w:val="000000" w:themeColor="text1"/>
          <w:lang w:eastAsia="pl-PL"/>
        </w:rPr>
      </w:pPr>
    </w:p>
    <w:p w14:paraId="10C89FD6" w14:textId="77777777" w:rsidR="00B70064" w:rsidRDefault="00B70064" w:rsidP="00CB08BA">
      <w:pPr>
        <w:spacing w:after="0"/>
        <w:jc w:val="both"/>
        <w:rPr>
          <w:rFonts w:ascii="Open Sans" w:eastAsia="Times New Roman" w:hAnsi="Open Sans" w:cs="Open Sans"/>
          <w:b/>
          <w:color w:val="000000" w:themeColor="text1"/>
          <w:lang w:eastAsia="pl-PL"/>
        </w:rPr>
      </w:pPr>
    </w:p>
    <w:p w14:paraId="0F4192B2" w14:textId="77777777" w:rsidR="00B70064" w:rsidRPr="00B60F98" w:rsidRDefault="00B70064" w:rsidP="00CB08BA">
      <w:pPr>
        <w:spacing w:after="0"/>
        <w:jc w:val="both"/>
        <w:rPr>
          <w:rFonts w:ascii="Open Sans" w:eastAsia="Times New Roman" w:hAnsi="Open Sans" w:cs="Open Sans"/>
          <w:b/>
          <w:color w:val="000000" w:themeColor="text1"/>
          <w:lang w:eastAsia="pl-PL"/>
        </w:rPr>
      </w:pPr>
    </w:p>
    <w:p w14:paraId="71E5CC22" w14:textId="4A503F13" w:rsidR="00B60F98" w:rsidRPr="00B60F98" w:rsidRDefault="00B60F98" w:rsidP="00CB08BA">
      <w:pPr>
        <w:spacing w:after="0"/>
        <w:jc w:val="both"/>
        <w:rPr>
          <w:rFonts w:ascii="Open Sans" w:eastAsia="Times New Roman" w:hAnsi="Open Sans" w:cs="Open Sans"/>
          <w:b/>
          <w:color w:val="000000" w:themeColor="text1"/>
          <w:lang w:eastAsia="pl-PL"/>
        </w:rPr>
      </w:pPr>
      <w:r w:rsidRPr="00B60F98">
        <w:rPr>
          <w:rFonts w:ascii="Open Sans" w:eastAsia="Times New Roman" w:hAnsi="Open Sans" w:cs="Open Sans"/>
          <w:b/>
          <w:color w:val="000000" w:themeColor="text1"/>
          <w:lang w:eastAsia="pl-PL"/>
        </w:rPr>
        <w:lastRenderedPageBreak/>
        <w:t>Jest:</w:t>
      </w:r>
    </w:p>
    <w:p w14:paraId="5978DCD0" w14:textId="77777777" w:rsidR="00B60F98" w:rsidRPr="00B60F98" w:rsidRDefault="00B60F98" w:rsidP="00B60F98">
      <w:pPr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60F98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 </w:t>
      </w:r>
      <w:r w:rsidRPr="00B60F98">
        <w:rPr>
          <w:rFonts w:ascii="Open Sans" w:eastAsiaTheme="minorEastAsia" w:hAnsi="Open Sans" w:cs="Open Sans"/>
        </w:rPr>
        <w:t>Projekty współfinansowane są ze środków UE w ramach EFS+ oraz budżetu państwa.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436"/>
        <w:gridCol w:w="2396"/>
        <w:gridCol w:w="3229"/>
      </w:tblGrid>
      <w:tr w:rsidR="00B60F98" w:rsidRPr="00B60F98" w14:paraId="07335E8B" w14:textId="77777777" w:rsidTr="005D4C71">
        <w:trPr>
          <w:trHeight w:val="564"/>
        </w:trPr>
        <w:tc>
          <w:tcPr>
            <w:tcW w:w="3436" w:type="dxa"/>
            <w:shd w:val="clear" w:color="auto" w:fill="auto"/>
            <w:vAlign w:val="center"/>
          </w:tcPr>
          <w:p w14:paraId="0CBC0A82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źródła finansowania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4EBC2C5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udział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039BB31F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Kwota (PLN)</w:t>
            </w:r>
          </w:p>
        </w:tc>
      </w:tr>
      <w:tr w:rsidR="00B60F98" w:rsidRPr="00B60F98" w14:paraId="50DD0D18" w14:textId="77777777" w:rsidTr="005D4C71">
        <w:trPr>
          <w:trHeight w:val="564"/>
        </w:trPr>
        <w:tc>
          <w:tcPr>
            <w:tcW w:w="3436" w:type="dxa"/>
            <w:shd w:val="clear" w:color="auto" w:fill="auto"/>
            <w:vAlign w:val="center"/>
          </w:tcPr>
          <w:p w14:paraId="58BEA966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Dofinansowanie, w tym: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2575A305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90%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2CFBBF0C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  <w:color w:val="FF0000"/>
              </w:rPr>
            </w:pPr>
            <w:r w:rsidRPr="00B60F98">
              <w:rPr>
                <w:rFonts w:ascii="Open Sans" w:hAnsi="Open Sans" w:cs="Open Sans"/>
                <w:color w:val="FF0000"/>
              </w:rPr>
              <w:t xml:space="preserve">32 000 000,00  </w:t>
            </w:r>
          </w:p>
        </w:tc>
      </w:tr>
      <w:tr w:rsidR="00B60F98" w:rsidRPr="00B60F98" w14:paraId="752E845A" w14:textId="77777777" w:rsidTr="005D4C71">
        <w:trPr>
          <w:trHeight w:val="564"/>
        </w:trPr>
        <w:tc>
          <w:tcPr>
            <w:tcW w:w="3436" w:type="dxa"/>
            <w:shd w:val="clear" w:color="auto" w:fill="auto"/>
            <w:vAlign w:val="center"/>
          </w:tcPr>
          <w:p w14:paraId="4B4C3479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środki UE z EFS+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585EF3B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85,00%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3E378C24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  <w:color w:val="FF0000"/>
              </w:rPr>
            </w:pPr>
            <w:r w:rsidRPr="00B60F98">
              <w:rPr>
                <w:rFonts w:ascii="Open Sans" w:hAnsi="Open Sans" w:cs="Open Sans"/>
                <w:color w:val="FF0000"/>
              </w:rPr>
              <w:t>30 222 222,22</w:t>
            </w:r>
          </w:p>
          <w:p w14:paraId="74081585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  <w:color w:val="FF0000"/>
              </w:rPr>
            </w:pPr>
          </w:p>
        </w:tc>
      </w:tr>
      <w:tr w:rsidR="00B60F98" w:rsidRPr="00B60F98" w14:paraId="494B8D17" w14:textId="77777777" w:rsidTr="005D4C71">
        <w:trPr>
          <w:trHeight w:val="564"/>
        </w:trPr>
        <w:tc>
          <w:tcPr>
            <w:tcW w:w="3436" w:type="dxa"/>
            <w:shd w:val="clear" w:color="auto" w:fill="auto"/>
            <w:vAlign w:val="center"/>
          </w:tcPr>
          <w:p w14:paraId="14986669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>Budżet Państwa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59D8B68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</w:rPr>
            </w:pPr>
            <w:r w:rsidRPr="00B60F98">
              <w:rPr>
                <w:rFonts w:ascii="Open Sans" w:hAnsi="Open Sans" w:cs="Open Sans"/>
              </w:rPr>
              <w:t xml:space="preserve">5% </w:t>
            </w:r>
          </w:p>
        </w:tc>
        <w:tc>
          <w:tcPr>
            <w:tcW w:w="3229" w:type="dxa"/>
            <w:shd w:val="clear" w:color="auto" w:fill="auto"/>
            <w:vAlign w:val="center"/>
          </w:tcPr>
          <w:p w14:paraId="77F9F6A2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  <w:color w:val="FF0000"/>
              </w:rPr>
            </w:pPr>
            <w:r w:rsidRPr="00B60F98">
              <w:rPr>
                <w:rFonts w:ascii="Open Sans" w:hAnsi="Open Sans" w:cs="Open Sans"/>
                <w:color w:val="FF0000"/>
              </w:rPr>
              <w:t>1 777 777,78</w:t>
            </w:r>
          </w:p>
          <w:p w14:paraId="4B77AD98" w14:textId="77777777" w:rsidR="00B60F98" w:rsidRPr="00B60F98" w:rsidRDefault="00B60F98" w:rsidP="00B60F98">
            <w:pPr>
              <w:spacing w:after="0" w:line="252" w:lineRule="auto"/>
              <w:rPr>
                <w:rFonts w:ascii="Open Sans" w:hAnsi="Open Sans" w:cs="Open Sans"/>
                <w:color w:val="FF0000"/>
              </w:rPr>
            </w:pPr>
          </w:p>
        </w:tc>
      </w:tr>
    </w:tbl>
    <w:p w14:paraId="72708245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</w:p>
    <w:p w14:paraId="614285E1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60F98">
        <w:rPr>
          <w:rFonts w:ascii="Open Sans" w:eastAsiaTheme="minorEastAsia" w:hAnsi="Open Sans" w:cs="Open Sans"/>
        </w:rPr>
        <w:t>Maksymalny % poziomu dofinansowania UE wydatków kwalifikowalnych na poziomie projektu w ramach naboru wynosi 90% wydatków kwalifikowalnych.</w:t>
      </w:r>
    </w:p>
    <w:p w14:paraId="5016E978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  <w:b/>
          <w:bCs/>
        </w:rPr>
      </w:pPr>
      <w:r w:rsidRPr="00B60F98">
        <w:rPr>
          <w:rFonts w:ascii="Open Sans" w:eastAsiaTheme="minorEastAsia" w:hAnsi="Open Sans" w:cs="Open Sans"/>
          <w:b/>
          <w:bCs/>
        </w:rPr>
        <w:t>Wnioskodawca jest zobowiązany do wniesienia wkładu własnego w wysokości minimum 10% wydatków kwalifikowalnych.</w:t>
      </w:r>
    </w:p>
    <w:p w14:paraId="1A078D8B" w14:textId="77777777" w:rsidR="00B60F98" w:rsidRPr="00B60F98" w:rsidRDefault="00B60F98" w:rsidP="00B60F98">
      <w:pPr>
        <w:autoSpaceDE w:val="0"/>
        <w:spacing w:before="240" w:after="240" w:line="360" w:lineRule="auto"/>
        <w:contextualSpacing/>
        <w:rPr>
          <w:rFonts w:ascii="Open Sans" w:eastAsiaTheme="minorEastAsia" w:hAnsi="Open Sans" w:cs="Open Sans"/>
        </w:rPr>
      </w:pPr>
      <w:r w:rsidRPr="00B60F98">
        <w:rPr>
          <w:rFonts w:ascii="Open Sans" w:eastAsiaTheme="minorEastAsia" w:hAnsi="Open Sans" w:cs="Open Sans"/>
        </w:rPr>
        <w:t xml:space="preserve">ION zastrzega sobie możliwość zmiany, w trakcie trwania naboru, kwoty przeznaczonej na dofinansowanie projektów, w tym w wyniku zmiany kursu euro. </w:t>
      </w:r>
      <w:bookmarkStart w:id="3" w:name="_Toc138670000"/>
      <w:bookmarkStart w:id="4" w:name="_Toc138670104"/>
      <w:bookmarkStart w:id="5" w:name="_Toc138670001"/>
      <w:bookmarkStart w:id="6" w:name="_Toc138670105"/>
      <w:bookmarkEnd w:id="3"/>
      <w:bookmarkEnd w:id="4"/>
      <w:bookmarkEnd w:id="5"/>
      <w:bookmarkEnd w:id="6"/>
    </w:p>
    <w:p w14:paraId="3E2707F5" w14:textId="2ECDC505" w:rsidR="00B60F98" w:rsidRPr="00B60F98" w:rsidRDefault="00B60F98" w:rsidP="00CB08BA">
      <w:pPr>
        <w:spacing w:after="0"/>
        <w:jc w:val="both"/>
        <w:rPr>
          <w:rFonts w:ascii="Open Sans" w:eastAsia="Times New Roman" w:hAnsi="Open Sans" w:cs="Open Sans"/>
          <w:bCs/>
          <w:color w:val="000000" w:themeColor="text1"/>
          <w:lang w:eastAsia="pl-PL"/>
        </w:rPr>
      </w:pPr>
    </w:p>
    <w:p w14:paraId="585DE7FD" w14:textId="77777777" w:rsidR="00B23307" w:rsidRDefault="00B23307" w:rsidP="00B60F98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bCs/>
          <w:kern w:val="2"/>
          <w14:ligatures w14:val="standardContextual"/>
        </w:rPr>
      </w:pPr>
    </w:p>
    <w:p w14:paraId="11ABA42D" w14:textId="2599C84D" w:rsidR="00B60F98" w:rsidRPr="00B60F98" w:rsidRDefault="00B60F98" w:rsidP="00B60F98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kern w:val="2"/>
          <w14:ligatures w14:val="standardContextual"/>
        </w:rPr>
      </w:pPr>
      <w:r w:rsidRPr="00B60F98">
        <w:rPr>
          <w:rFonts w:ascii="Open Sans" w:hAnsi="Open Sans" w:cs="Open Sans"/>
          <w:b/>
          <w:bCs/>
          <w:kern w:val="2"/>
          <w14:ligatures w14:val="standardContextual"/>
        </w:rPr>
        <w:t>Uzasadnienie:</w:t>
      </w:r>
      <w:r w:rsidRPr="00B60F98">
        <w:rPr>
          <w:rFonts w:ascii="Open Sans" w:hAnsi="Open Sans" w:cs="Open Sans"/>
          <w:kern w:val="2"/>
          <w14:ligatures w14:val="standardContextual"/>
        </w:rPr>
        <w:t xml:space="preserve"> Zmiana zapisów Regulaminu wyboru projektów wynika z przyjęcia Uchwały nr 403/7914/2024 z dnia 29 kwietnia 2024r. przez Zarząd Województwa Podlaskiego</w:t>
      </w:r>
      <w:r w:rsidR="00B23307">
        <w:rPr>
          <w:rFonts w:ascii="Open Sans" w:hAnsi="Open Sans" w:cs="Open Sans"/>
          <w:kern w:val="2"/>
          <w14:ligatures w14:val="standardContextual"/>
        </w:rPr>
        <w:t>.</w:t>
      </w:r>
      <w:r w:rsidRPr="00B60F98">
        <w:rPr>
          <w:rFonts w:ascii="Open Sans" w:hAnsi="Open Sans" w:cs="Open Sans"/>
          <w:kern w:val="2"/>
          <w14:ligatures w14:val="standardContextual"/>
        </w:rPr>
        <w:t xml:space="preserve"> </w:t>
      </w:r>
    </w:p>
    <w:p w14:paraId="473F084F" w14:textId="17A60153" w:rsidR="00B60F98" w:rsidRPr="00B60F98" w:rsidRDefault="00B60F98" w:rsidP="00B23307">
      <w:pPr>
        <w:autoSpaceDE w:val="0"/>
        <w:autoSpaceDN w:val="0"/>
        <w:adjustRightInd w:val="0"/>
        <w:spacing w:line="360" w:lineRule="auto"/>
        <w:rPr>
          <w:rFonts w:ascii="Open Sans" w:eastAsia="Calibri" w:hAnsi="Open Sans" w:cs="Open Sans"/>
          <w:color w:val="000000" w:themeColor="text1"/>
        </w:rPr>
      </w:pPr>
      <w:r w:rsidRPr="00B60F98">
        <w:rPr>
          <w:rFonts w:ascii="Open Sans" w:eastAsia="Calibri" w:hAnsi="Open Sans" w:cs="Open Sans"/>
          <w:color w:val="000000" w:themeColor="text1"/>
        </w:rPr>
        <w:t>Ww. zmiana regulaminu naboru nie powoduje zachwiania konkurencyjności.</w:t>
      </w:r>
    </w:p>
    <w:p w14:paraId="582E9072" w14:textId="06BB87E3" w:rsidR="00B60F98" w:rsidRPr="00B60F98" w:rsidRDefault="00B60F98" w:rsidP="00B60F98">
      <w:pPr>
        <w:autoSpaceDE w:val="0"/>
        <w:autoSpaceDN w:val="0"/>
        <w:adjustRightInd w:val="0"/>
        <w:rPr>
          <w:rFonts w:ascii="Open Sans" w:eastAsia="Times New Roman" w:hAnsi="Open Sans" w:cs="Open Sans"/>
          <w:lang w:eastAsia="pl-PL"/>
        </w:rPr>
      </w:pPr>
      <w:r w:rsidRPr="00B60F98">
        <w:rPr>
          <w:rFonts w:ascii="Open Sans" w:eastAsia="Times New Roman" w:hAnsi="Open Sans" w:cs="Open Sans"/>
          <w:lang w:eastAsia="pl-PL"/>
        </w:rPr>
        <w:t>Uaktualniony w w/w zakresie</w:t>
      </w:r>
      <w:r w:rsidRPr="00B60F98">
        <w:rPr>
          <w:rFonts w:ascii="Open Sans" w:eastAsia="Calibri" w:hAnsi="Open Sans" w:cs="Open Sans"/>
        </w:rPr>
        <w:t xml:space="preserve"> Regulamin </w:t>
      </w:r>
      <w:r w:rsidRPr="00B60F98">
        <w:rPr>
          <w:rFonts w:ascii="Open Sans" w:eastAsia="Times New Roman" w:hAnsi="Open Sans" w:cs="Open Sans"/>
          <w:lang w:eastAsia="pl-PL"/>
        </w:rPr>
        <w:t>wyboru projektów obowiązuje od 7.05.2024</w:t>
      </w:r>
      <w:r w:rsidRPr="00B60F98">
        <w:rPr>
          <w:rFonts w:ascii="Open Sans" w:eastAsia="Times New Roman" w:hAnsi="Open Sans" w:cs="Open Sans"/>
          <w:lang w:val="it-IT" w:eastAsia="pl-PL"/>
        </w:rPr>
        <w:t xml:space="preserve"> roku</w:t>
      </w:r>
      <w:r w:rsidRPr="00B60F98">
        <w:rPr>
          <w:rFonts w:ascii="Open Sans" w:eastAsia="Times New Roman" w:hAnsi="Open Sans" w:cs="Open Sans"/>
          <w:lang w:eastAsia="pl-PL"/>
        </w:rPr>
        <w:t>.</w:t>
      </w:r>
    </w:p>
    <w:p w14:paraId="0D68513D" w14:textId="77777777" w:rsidR="00B60F98" w:rsidRPr="00B60F98" w:rsidRDefault="00B60F98" w:rsidP="00B60F98">
      <w:pPr>
        <w:autoSpaceDE w:val="0"/>
        <w:autoSpaceDN w:val="0"/>
        <w:adjustRightInd w:val="0"/>
        <w:spacing w:after="0"/>
        <w:rPr>
          <w:rFonts w:ascii="Open Sans" w:eastAsia="Times New Roman" w:hAnsi="Open Sans" w:cs="Open Sans"/>
          <w:lang w:eastAsia="pl-PL"/>
        </w:rPr>
      </w:pPr>
    </w:p>
    <w:p w14:paraId="7B766298" w14:textId="77777777" w:rsidR="00CB08BA" w:rsidRPr="00B60F98" w:rsidRDefault="00CB08BA" w:rsidP="00CB08BA">
      <w:pPr>
        <w:keepNext/>
        <w:keepLines/>
        <w:suppressAutoHyphens/>
        <w:autoSpaceDN w:val="0"/>
        <w:spacing w:after="0"/>
        <w:ind w:left="360"/>
        <w:contextualSpacing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67541217" w14:textId="3DEEC7B7" w:rsidR="00BD61F9" w:rsidRPr="00F2330B" w:rsidRDefault="00BD61F9" w:rsidP="00CB08BA">
      <w:pPr>
        <w:spacing w:after="120"/>
        <w:ind w:left="-142"/>
        <w:jc w:val="right"/>
        <w:rPr>
          <w:rFonts w:ascii="Open Sans" w:eastAsia="Times New Roman" w:hAnsi="Open Sans" w:cs="Open Sans"/>
          <w:lang w:eastAsia="pl-PL"/>
        </w:rPr>
      </w:pPr>
    </w:p>
    <w:sectPr w:rsidR="00BD61F9" w:rsidRPr="00F2330B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CEFA0" w14:textId="77777777" w:rsidR="00A827A2" w:rsidRDefault="00A827A2" w:rsidP="004D4C5C">
      <w:pPr>
        <w:spacing w:after="0" w:line="240" w:lineRule="auto"/>
      </w:pPr>
      <w:r>
        <w:separator/>
      </w:r>
    </w:p>
  </w:endnote>
  <w:endnote w:type="continuationSeparator" w:id="0">
    <w:p w14:paraId="55129A9B" w14:textId="77777777" w:rsidR="00A827A2" w:rsidRDefault="00A827A2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8EDFC" w14:textId="77777777" w:rsidR="00A827A2" w:rsidRDefault="00A827A2" w:rsidP="004D4C5C">
      <w:pPr>
        <w:spacing w:after="0" w:line="240" w:lineRule="auto"/>
      </w:pPr>
      <w:r>
        <w:separator/>
      </w:r>
    </w:p>
  </w:footnote>
  <w:footnote w:type="continuationSeparator" w:id="0">
    <w:p w14:paraId="5AB7E6BE" w14:textId="77777777" w:rsidR="00A827A2" w:rsidRDefault="00A827A2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55749"/>
    <w:multiLevelType w:val="multilevel"/>
    <w:tmpl w:val="9078B230"/>
    <w:lvl w:ilvl="0">
      <w:start w:val="1"/>
      <w:numFmt w:val="decimal"/>
      <w:lvlText w:val="%1"/>
      <w:lvlJc w:val="left"/>
      <w:pPr>
        <w:ind w:left="405" w:hanging="405"/>
      </w:pPr>
      <w:rPr>
        <w:rFonts w:eastAsiaTheme="majorEastAsia" w:hint="default"/>
        <w:b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eastAsiaTheme="majorEastAsia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ajorEastAsia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ajorEastAsia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ajorEastAsia"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ajorEastAsia" w:hint="default"/>
        <w:b/>
      </w:rPr>
    </w:lvl>
  </w:abstractNum>
  <w:abstractNum w:abstractNumId="4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75E52FA3"/>
    <w:multiLevelType w:val="hybridMultilevel"/>
    <w:tmpl w:val="86FAAC52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3"/>
  </w:num>
  <w:num w:numId="2" w16cid:durableId="1874344168">
    <w:abstractNumId w:val="7"/>
  </w:num>
  <w:num w:numId="3" w16cid:durableId="1764689786">
    <w:abstractNumId w:val="0"/>
  </w:num>
  <w:num w:numId="4" w16cid:durableId="1592276808">
    <w:abstractNumId w:val="13"/>
  </w:num>
  <w:num w:numId="5" w16cid:durableId="1979069175">
    <w:abstractNumId w:val="13"/>
  </w:num>
  <w:num w:numId="6" w16cid:durableId="4593433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3"/>
  </w:num>
  <w:num w:numId="9" w16cid:durableId="1039742820">
    <w:abstractNumId w:val="12"/>
  </w:num>
  <w:num w:numId="10" w16cid:durableId="833227108">
    <w:abstractNumId w:val="14"/>
  </w:num>
  <w:num w:numId="11" w16cid:durableId="1460218249">
    <w:abstractNumId w:val="14"/>
  </w:num>
  <w:num w:numId="12" w16cid:durableId="604504604">
    <w:abstractNumId w:val="12"/>
  </w:num>
  <w:num w:numId="13" w16cid:durableId="1030960806">
    <w:abstractNumId w:val="2"/>
  </w:num>
  <w:num w:numId="14" w16cid:durableId="1345747920">
    <w:abstractNumId w:val="4"/>
  </w:num>
  <w:num w:numId="15" w16cid:durableId="1975987831">
    <w:abstractNumId w:val="5"/>
  </w:num>
  <w:num w:numId="16" w16cid:durableId="1712921111">
    <w:abstractNumId w:val="8"/>
  </w:num>
  <w:num w:numId="17" w16cid:durableId="245506569">
    <w:abstractNumId w:val="9"/>
  </w:num>
  <w:num w:numId="18" w16cid:durableId="164437809">
    <w:abstractNumId w:val="6"/>
  </w:num>
  <w:num w:numId="19" w16cid:durableId="1261909222">
    <w:abstractNumId w:val="11"/>
  </w:num>
  <w:num w:numId="20" w16cid:durableId="589968766">
    <w:abstractNumId w:val="15"/>
  </w:num>
  <w:num w:numId="21" w16cid:durableId="1945116145">
    <w:abstractNumId w:val="1"/>
  </w:num>
  <w:num w:numId="22" w16cid:durableId="1124815136">
    <w:abstractNumId w:val="3"/>
  </w:num>
  <w:num w:numId="23" w16cid:durableId="7952153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37C87"/>
    <w:rsid w:val="00091B49"/>
    <w:rsid w:val="000A1FB8"/>
    <w:rsid w:val="000A78AA"/>
    <w:rsid w:val="000C14AF"/>
    <w:rsid w:val="00107481"/>
    <w:rsid w:val="00110BBC"/>
    <w:rsid w:val="00122864"/>
    <w:rsid w:val="0014242A"/>
    <w:rsid w:val="00146859"/>
    <w:rsid w:val="001576F7"/>
    <w:rsid w:val="001C0C20"/>
    <w:rsid w:val="001C2A18"/>
    <w:rsid w:val="001F3A72"/>
    <w:rsid w:val="002306BD"/>
    <w:rsid w:val="00233E03"/>
    <w:rsid w:val="00237054"/>
    <w:rsid w:val="00274757"/>
    <w:rsid w:val="00293D87"/>
    <w:rsid w:val="002A056B"/>
    <w:rsid w:val="00301091"/>
    <w:rsid w:val="00305C7F"/>
    <w:rsid w:val="00306913"/>
    <w:rsid w:val="003505BD"/>
    <w:rsid w:val="00357C6B"/>
    <w:rsid w:val="00382987"/>
    <w:rsid w:val="003836EB"/>
    <w:rsid w:val="003B232B"/>
    <w:rsid w:val="003B3ADF"/>
    <w:rsid w:val="003D6485"/>
    <w:rsid w:val="004100DE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A7B18"/>
    <w:rsid w:val="004B33B1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A46BB"/>
    <w:rsid w:val="005B2F07"/>
    <w:rsid w:val="005C2142"/>
    <w:rsid w:val="005D6B10"/>
    <w:rsid w:val="005F0D74"/>
    <w:rsid w:val="005F3761"/>
    <w:rsid w:val="00605BB1"/>
    <w:rsid w:val="00633551"/>
    <w:rsid w:val="006431ED"/>
    <w:rsid w:val="00651AF9"/>
    <w:rsid w:val="00662ED0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A0202"/>
    <w:rsid w:val="008C07E6"/>
    <w:rsid w:val="008D3669"/>
    <w:rsid w:val="008D3C9F"/>
    <w:rsid w:val="00926CB8"/>
    <w:rsid w:val="0093541E"/>
    <w:rsid w:val="009410FA"/>
    <w:rsid w:val="00962D53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827A2"/>
    <w:rsid w:val="00AA38AD"/>
    <w:rsid w:val="00AB19BD"/>
    <w:rsid w:val="00AC1222"/>
    <w:rsid w:val="00AE7707"/>
    <w:rsid w:val="00B067A0"/>
    <w:rsid w:val="00B1050A"/>
    <w:rsid w:val="00B23307"/>
    <w:rsid w:val="00B23BE6"/>
    <w:rsid w:val="00B24F0C"/>
    <w:rsid w:val="00B42802"/>
    <w:rsid w:val="00B60F98"/>
    <w:rsid w:val="00B70064"/>
    <w:rsid w:val="00B7652E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416BB"/>
    <w:rsid w:val="00C47782"/>
    <w:rsid w:val="00C60844"/>
    <w:rsid w:val="00C815C8"/>
    <w:rsid w:val="00C8713B"/>
    <w:rsid w:val="00C93AD3"/>
    <w:rsid w:val="00CB08BA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D04DE"/>
    <w:rsid w:val="00DE24FD"/>
    <w:rsid w:val="00E014F7"/>
    <w:rsid w:val="00E32EAC"/>
    <w:rsid w:val="00E848AA"/>
    <w:rsid w:val="00E91466"/>
    <w:rsid w:val="00E97703"/>
    <w:rsid w:val="00ED05F9"/>
    <w:rsid w:val="00EE2B58"/>
    <w:rsid w:val="00F11A24"/>
    <w:rsid w:val="00F206FD"/>
    <w:rsid w:val="00F2330B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B60F98"/>
    <w:pPr>
      <w:spacing w:after="0" w:line="252" w:lineRule="auto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EFS-I</cp:lastModifiedBy>
  <cp:revision>3</cp:revision>
  <cp:lastPrinted>2023-09-20T09:04:00Z</cp:lastPrinted>
  <dcterms:created xsi:type="dcterms:W3CDTF">2024-05-07T08:09:00Z</dcterms:created>
  <dcterms:modified xsi:type="dcterms:W3CDTF">2024-05-07T12:12:00Z</dcterms:modified>
</cp:coreProperties>
</file>