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4E22" w14:textId="10776B8F" w:rsidR="00506F7C" w:rsidRPr="00FD6029" w:rsidRDefault="00265B7C" w:rsidP="00506F7C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FD6029">
        <w:rPr>
          <w:rFonts w:ascii="Open Sans" w:eastAsia="Times New Roman" w:hAnsi="Open Sans" w:cs="Open Sans"/>
          <w:lang w:val="it-IT" w:eastAsia="pl-PL"/>
        </w:rPr>
        <w:t>EFS-</w:t>
      </w:r>
      <w:r w:rsidR="00250E6E" w:rsidRPr="00FD6029">
        <w:rPr>
          <w:rFonts w:ascii="Open Sans" w:eastAsia="Times New Roman" w:hAnsi="Open Sans" w:cs="Open Sans"/>
          <w:lang w:val="it-IT" w:eastAsia="pl-PL"/>
        </w:rPr>
        <w:t>V</w:t>
      </w:r>
      <w:r w:rsidRPr="00FD6029">
        <w:rPr>
          <w:rFonts w:ascii="Open Sans" w:eastAsia="Times New Roman" w:hAnsi="Open Sans" w:cs="Open Sans"/>
          <w:lang w:val="it-IT" w:eastAsia="pl-PL"/>
        </w:rPr>
        <w:t>.432.</w:t>
      </w:r>
      <w:r w:rsidR="000375BD" w:rsidRPr="00FD6029">
        <w:rPr>
          <w:rFonts w:ascii="Open Sans" w:eastAsia="Times New Roman" w:hAnsi="Open Sans" w:cs="Open Sans"/>
          <w:lang w:val="it-IT" w:eastAsia="pl-PL"/>
        </w:rPr>
        <w:t>3</w:t>
      </w:r>
      <w:r w:rsidRPr="00FD6029">
        <w:rPr>
          <w:rFonts w:ascii="Open Sans" w:eastAsia="Times New Roman" w:hAnsi="Open Sans" w:cs="Open Sans"/>
          <w:lang w:val="it-IT" w:eastAsia="pl-PL"/>
        </w:rPr>
        <w:t>.</w:t>
      </w:r>
      <w:r w:rsidR="00250E6E" w:rsidRPr="00FD6029">
        <w:rPr>
          <w:rFonts w:ascii="Open Sans" w:eastAsia="Times New Roman" w:hAnsi="Open Sans" w:cs="Open Sans"/>
          <w:lang w:val="it-IT" w:eastAsia="pl-PL"/>
        </w:rPr>
        <w:t>1</w:t>
      </w:r>
      <w:r w:rsidRPr="00FD6029">
        <w:rPr>
          <w:rFonts w:ascii="Open Sans" w:eastAsia="Times New Roman" w:hAnsi="Open Sans" w:cs="Open Sans"/>
          <w:lang w:val="it-IT" w:eastAsia="pl-PL"/>
        </w:rPr>
        <w:t>.2023.</w:t>
      </w:r>
      <w:r w:rsidR="00250E6E" w:rsidRPr="00FD6029">
        <w:rPr>
          <w:rFonts w:ascii="Open Sans" w:eastAsia="Times New Roman" w:hAnsi="Open Sans" w:cs="Open Sans"/>
          <w:lang w:val="it-IT" w:eastAsia="pl-PL"/>
        </w:rPr>
        <w:t>IZ</w:t>
      </w:r>
    </w:p>
    <w:p w14:paraId="4112A0F0" w14:textId="76CC39AE" w:rsidR="00BD61F9" w:rsidRPr="00FD6029" w:rsidRDefault="00BD61F9" w:rsidP="0014242A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0F02FC" w:rsidRPr="00FD6029">
        <w:rPr>
          <w:rFonts w:ascii="Open Sans" w:eastAsia="Times New Roman" w:hAnsi="Open Sans" w:cs="Open Sans"/>
          <w:lang w:val="it-IT" w:eastAsia="pl-PL"/>
        </w:rPr>
        <w:t>1</w:t>
      </w:r>
      <w:r w:rsidR="001400FF" w:rsidRPr="00FD6029">
        <w:rPr>
          <w:rFonts w:ascii="Open Sans" w:eastAsia="Times New Roman" w:hAnsi="Open Sans" w:cs="Open Sans"/>
          <w:lang w:val="it-IT" w:eastAsia="pl-PL"/>
        </w:rPr>
        <w:t>5</w:t>
      </w:r>
      <w:r w:rsidR="00F2330B" w:rsidRPr="00FD6029">
        <w:rPr>
          <w:rFonts w:ascii="Open Sans" w:eastAsia="Times New Roman" w:hAnsi="Open Sans" w:cs="Open Sans"/>
          <w:lang w:val="it-IT" w:eastAsia="pl-PL"/>
        </w:rPr>
        <w:t>.1</w:t>
      </w:r>
      <w:r w:rsidR="000375BD" w:rsidRPr="00FD6029">
        <w:rPr>
          <w:rFonts w:ascii="Open Sans" w:eastAsia="Times New Roman" w:hAnsi="Open Sans" w:cs="Open Sans"/>
          <w:lang w:val="it-IT" w:eastAsia="pl-PL"/>
        </w:rPr>
        <w:t>2</w:t>
      </w:r>
      <w:r w:rsidRPr="00FD6029">
        <w:rPr>
          <w:rFonts w:ascii="Open Sans" w:eastAsia="Times New Roman" w:hAnsi="Open Sans" w:cs="Open Sans"/>
          <w:lang w:val="it-IT" w:eastAsia="pl-PL"/>
        </w:rPr>
        <w:t>.2023 r.</w:t>
      </w:r>
    </w:p>
    <w:p w14:paraId="6CFB6F81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314A1935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250E6E" w:rsidRPr="00FD6029">
        <w:rPr>
          <w:rFonts w:ascii="Open Sans" w:eastAsia="Times New Roman" w:hAnsi="Open Sans" w:cs="Open Sans"/>
          <w:lang w:eastAsia="pl-PL"/>
        </w:rPr>
        <w:t>3</w:t>
      </w:r>
      <w:r w:rsidRPr="00FD6029">
        <w:rPr>
          <w:rFonts w:ascii="Open Sans" w:eastAsia="Times New Roman" w:hAnsi="Open Sans" w:cs="Open Sans"/>
          <w:lang w:eastAsia="pl-PL"/>
        </w:rPr>
        <w:t xml:space="preserve"> 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2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/23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>Zwiększenie aktywności społeczno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4F1DD3A4" w14:textId="77777777" w:rsidR="00F2330B" w:rsidRDefault="00F2330B" w:rsidP="00F2330B">
      <w:pPr>
        <w:rPr>
          <w:rFonts w:ascii="Open Sans" w:eastAsia="Times New Roman" w:hAnsi="Open Sans" w:cs="Open Sans"/>
          <w:lang w:val="x-none" w:eastAsia="pl-PL"/>
        </w:rPr>
      </w:pPr>
    </w:p>
    <w:p w14:paraId="07340EA8" w14:textId="77777777" w:rsidR="00F623F8" w:rsidRDefault="00F623F8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514202F8" w14:textId="131E29BE" w:rsidR="00F2330B" w:rsidRPr="00FD6029" w:rsidRDefault="00F2330B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D6029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49B3743" w14:textId="77777777" w:rsidR="000F1820" w:rsidRPr="00FD6029" w:rsidRDefault="000F1820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</w:p>
    <w:p w14:paraId="04878D26" w14:textId="2A72A684" w:rsidR="000F1820" w:rsidRPr="00FD6029" w:rsidRDefault="000F1820" w:rsidP="000F1820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5962D8" w14:textId="34A6DFDC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654419EF" w14:textId="5AF68EEF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Nabór wniosków o dofinansowanie będzie prowadzony wyłącznie w formie </w:t>
      </w:r>
      <w:r w:rsidR="00C2297B">
        <w:rPr>
          <w:rFonts w:ascii="Open Sans" w:eastAsia="Calibri" w:hAnsi="Open Sans" w:cs="Open Sans"/>
          <w:kern w:val="3"/>
        </w:rPr>
        <w:t>e</w:t>
      </w:r>
      <w:r w:rsidRPr="00FD6029">
        <w:rPr>
          <w:rFonts w:ascii="Open Sans" w:eastAsia="Calibri" w:hAnsi="Open Sans" w:cs="Open Sans"/>
          <w:kern w:val="3"/>
        </w:rPr>
        <w:t>lektronicznej za pośrednictwem systemu SOWA EFS</w:t>
      </w:r>
      <w:r w:rsidRPr="00FD6029">
        <w:rPr>
          <w:rFonts w:ascii="Open Sans" w:eastAsia="Calibri" w:hAnsi="Open Sans" w:cs="Open Sans"/>
          <w:b/>
          <w:bCs/>
          <w:kern w:val="3"/>
        </w:rPr>
        <w:t xml:space="preserve"> </w:t>
      </w:r>
      <w:r w:rsidRPr="00FD6029">
        <w:rPr>
          <w:rFonts w:ascii="Open Sans" w:eastAsia="Calibri" w:hAnsi="Open Sans" w:cs="Open Sans"/>
          <w:kern w:val="3"/>
        </w:rPr>
        <w:t>w terminie:</w:t>
      </w:r>
    </w:p>
    <w:p w14:paraId="00A3D625" w14:textId="757FBB04" w:rsidR="000F1820" w:rsidRPr="00FD6029" w:rsidRDefault="000F1820" w:rsidP="00A0323B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240" w:after="16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rozpoczęcie naboru wniosków: 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08</w:t>
      </w:r>
      <w:r w:rsidRPr="00FD6029">
        <w:rPr>
          <w:rFonts w:ascii="Open Sans" w:eastAsia="Calibri" w:hAnsi="Open Sans" w:cs="Open Sans"/>
          <w:b/>
          <w:bCs/>
          <w:kern w:val="3"/>
        </w:rPr>
        <w:t>.1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1</w:t>
      </w:r>
      <w:r w:rsidRPr="00FD6029">
        <w:rPr>
          <w:rFonts w:ascii="Open Sans" w:eastAsia="Calibri" w:hAnsi="Open Sans" w:cs="Open Sans"/>
          <w:b/>
          <w:bCs/>
          <w:kern w:val="3"/>
        </w:rPr>
        <w:t>.2023 r. godz. 00:00</w:t>
      </w:r>
    </w:p>
    <w:p w14:paraId="3CC56DB7" w14:textId="104BB34A" w:rsidR="000F1820" w:rsidRPr="00FD6029" w:rsidRDefault="000F1820" w:rsidP="00A0323B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zakończenie naboru wniosków: 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18</w:t>
      </w:r>
      <w:r w:rsidRPr="00FD6029">
        <w:rPr>
          <w:rFonts w:ascii="Open Sans" w:eastAsia="Calibri" w:hAnsi="Open Sans" w:cs="Open Sans"/>
          <w:b/>
          <w:bCs/>
          <w:kern w:val="3"/>
        </w:rPr>
        <w:t>.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12</w:t>
      </w:r>
      <w:r w:rsidRPr="00FD6029">
        <w:rPr>
          <w:rFonts w:ascii="Open Sans" w:eastAsia="Calibri" w:hAnsi="Open Sans" w:cs="Open Sans"/>
          <w:b/>
          <w:bCs/>
          <w:kern w:val="3"/>
        </w:rPr>
        <w:t>.202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3</w:t>
      </w:r>
      <w:r w:rsidRPr="00FD6029">
        <w:rPr>
          <w:rFonts w:ascii="Open Sans" w:eastAsia="Calibri" w:hAnsi="Open Sans" w:cs="Open Sans"/>
          <w:b/>
          <w:bCs/>
          <w:kern w:val="3"/>
        </w:rPr>
        <w:t xml:space="preserve"> r. godz. 23:59</w:t>
      </w:r>
    </w:p>
    <w:p w14:paraId="1481AAC0" w14:textId="3231D502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5F3E92D1" w14:textId="2CBC9D98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Nabór wniosków o dofinansowanie będzie prowadzony wyłącznie w formie </w:t>
      </w:r>
      <w:r w:rsidR="00C2297B">
        <w:rPr>
          <w:rFonts w:ascii="Open Sans" w:eastAsia="Calibri" w:hAnsi="Open Sans" w:cs="Open Sans"/>
          <w:kern w:val="3"/>
        </w:rPr>
        <w:t>e</w:t>
      </w:r>
      <w:r w:rsidRPr="00FD6029">
        <w:rPr>
          <w:rFonts w:ascii="Open Sans" w:eastAsia="Calibri" w:hAnsi="Open Sans" w:cs="Open Sans"/>
          <w:kern w:val="3"/>
        </w:rPr>
        <w:t>lektronicznej za pośrednictwem systemu SOWA EFS</w:t>
      </w:r>
      <w:r w:rsidRPr="00FD6029">
        <w:rPr>
          <w:rFonts w:ascii="Open Sans" w:eastAsia="Calibri" w:hAnsi="Open Sans" w:cs="Open Sans"/>
          <w:b/>
          <w:bCs/>
          <w:kern w:val="3"/>
        </w:rPr>
        <w:t xml:space="preserve"> </w:t>
      </w:r>
      <w:r w:rsidRPr="00FD6029">
        <w:rPr>
          <w:rFonts w:ascii="Open Sans" w:eastAsia="Calibri" w:hAnsi="Open Sans" w:cs="Open Sans"/>
          <w:kern w:val="3"/>
        </w:rPr>
        <w:t>w terminie:</w:t>
      </w:r>
    </w:p>
    <w:p w14:paraId="7E93359D" w14:textId="3DA36B6E" w:rsidR="000F1820" w:rsidRPr="00FD6029" w:rsidRDefault="000F1820" w:rsidP="00A0323B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240" w:after="16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rozpoczęcie naboru wniosków: 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08</w:t>
      </w:r>
      <w:r w:rsidRPr="00FD6029">
        <w:rPr>
          <w:rFonts w:ascii="Open Sans" w:eastAsia="Calibri" w:hAnsi="Open Sans" w:cs="Open Sans"/>
          <w:b/>
          <w:bCs/>
          <w:kern w:val="3"/>
        </w:rPr>
        <w:t>.1</w:t>
      </w:r>
      <w:r w:rsidR="000F02FC" w:rsidRPr="00FD6029">
        <w:rPr>
          <w:rFonts w:ascii="Open Sans" w:eastAsia="Calibri" w:hAnsi="Open Sans" w:cs="Open Sans"/>
          <w:b/>
          <w:bCs/>
          <w:kern w:val="3"/>
        </w:rPr>
        <w:t>1</w:t>
      </w:r>
      <w:r w:rsidRPr="00FD6029">
        <w:rPr>
          <w:rFonts w:ascii="Open Sans" w:eastAsia="Calibri" w:hAnsi="Open Sans" w:cs="Open Sans"/>
          <w:b/>
          <w:bCs/>
          <w:kern w:val="3"/>
        </w:rPr>
        <w:t>.2023 r. godz. 00:00</w:t>
      </w:r>
    </w:p>
    <w:p w14:paraId="707CB222" w14:textId="6C6A5621" w:rsidR="000F1820" w:rsidRPr="0025134E" w:rsidRDefault="000F1820" w:rsidP="00A0323B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zakończenie naboru wniosków: </w:t>
      </w:r>
      <w:r w:rsidR="001400FF" w:rsidRPr="00FD6029">
        <w:rPr>
          <w:rFonts w:ascii="Open Sans" w:eastAsia="Calibri" w:hAnsi="Open Sans" w:cs="Open Sans"/>
          <w:b/>
          <w:bCs/>
          <w:kern w:val="3"/>
        </w:rPr>
        <w:t>30.12</w:t>
      </w:r>
      <w:r w:rsidRPr="00FD6029">
        <w:rPr>
          <w:rFonts w:ascii="Open Sans" w:eastAsia="Calibri" w:hAnsi="Open Sans" w:cs="Open Sans"/>
          <w:b/>
          <w:bCs/>
          <w:kern w:val="3"/>
        </w:rPr>
        <w:t>.202</w:t>
      </w:r>
      <w:r w:rsidR="001400FF" w:rsidRPr="00FD6029">
        <w:rPr>
          <w:rFonts w:ascii="Open Sans" w:eastAsia="Calibri" w:hAnsi="Open Sans" w:cs="Open Sans"/>
          <w:b/>
          <w:bCs/>
          <w:kern w:val="3"/>
        </w:rPr>
        <w:t>3</w:t>
      </w:r>
      <w:r w:rsidRPr="00FD6029">
        <w:rPr>
          <w:rFonts w:ascii="Open Sans" w:eastAsia="Calibri" w:hAnsi="Open Sans" w:cs="Open Sans"/>
          <w:b/>
          <w:bCs/>
          <w:kern w:val="3"/>
        </w:rPr>
        <w:t xml:space="preserve"> r. godz. 23:59</w:t>
      </w:r>
    </w:p>
    <w:p w14:paraId="014387B9" w14:textId="77777777" w:rsidR="0025134E" w:rsidRDefault="0025134E" w:rsidP="0025134E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ind w:left="720"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7481D1BF" w14:textId="77777777" w:rsidR="00F623F8" w:rsidRDefault="00F623F8" w:rsidP="0025134E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ind w:left="720"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6652D765" w14:textId="77777777" w:rsidR="00F623F8" w:rsidRPr="00FD6029" w:rsidRDefault="00F623F8" w:rsidP="0025134E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ind w:left="720"/>
        <w:textAlignment w:val="baseline"/>
        <w:rPr>
          <w:rFonts w:ascii="Open Sans" w:eastAsia="Calibri" w:hAnsi="Open Sans" w:cs="Open Sans"/>
          <w:kern w:val="3"/>
        </w:rPr>
      </w:pPr>
    </w:p>
    <w:p w14:paraId="5CF85B51" w14:textId="65DD264F" w:rsidR="00BB3DDD" w:rsidRPr="00FD6029" w:rsidRDefault="00BB3DDD" w:rsidP="00BB3DDD">
      <w:pPr>
        <w:keepNext/>
        <w:keepLines/>
        <w:suppressAutoHyphens/>
        <w:autoSpaceDN w:val="0"/>
        <w:spacing w:before="200" w:after="160" w:line="259" w:lineRule="auto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lastRenderedPageBreak/>
        <w:t xml:space="preserve">2. Wymagania dotyczące projektu </w:t>
      </w:r>
    </w:p>
    <w:p w14:paraId="65612B13" w14:textId="77777777" w:rsidR="00BB3DDD" w:rsidRPr="00FD6029" w:rsidRDefault="00BB3DDD" w:rsidP="00BB3DDD">
      <w:pPr>
        <w:pStyle w:val="Nagwek2"/>
        <w:rPr>
          <w:rFonts w:ascii="Open Sans" w:eastAsia="Times New Roman" w:hAnsi="Open Sans" w:cs="Open Sans"/>
          <w:b/>
          <w:color w:val="auto"/>
          <w:kern w:val="3"/>
          <w:sz w:val="22"/>
        </w:rPr>
      </w:pPr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  <w:sz w:val="22"/>
          <w:szCs w:val="22"/>
        </w:rPr>
        <w:t>2.1</w:t>
      </w:r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 </w:t>
      </w:r>
      <w:bookmarkStart w:id="25" w:name="_Toc150246553"/>
      <w:r w:rsidRPr="00FD6029">
        <w:rPr>
          <w:rFonts w:ascii="Open Sans" w:eastAsia="Times New Roman" w:hAnsi="Open Sans" w:cs="Open Sans"/>
          <w:b/>
          <w:color w:val="auto"/>
          <w:kern w:val="3"/>
          <w:sz w:val="22"/>
        </w:rPr>
        <w:t>Podmioty uprawnione do ubiegania się o dofinansowanie projektu</w:t>
      </w:r>
      <w:bookmarkEnd w:id="25"/>
    </w:p>
    <w:p w14:paraId="72D2C0B0" w14:textId="6FE3F983" w:rsidR="00F2330B" w:rsidRPr="00FD6029" w:rsidRDefault="00BB3DDD" w:rsidP="00731DBF">
      <w:pPr>
        <w:keepNext/>
        <w:keepLines/>
        <w:suppressAutoHyphens/>
        <w:autoSpaceDN w:val="0"/>
        <w:spacing w:before="200"/>
        <w:contextualSpacing/>
        <w:textAlignment w:val="baseline"/>
        <w:outlineLvl w:val="1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Było:</w:t>
      </w:r>
    </w:p>
    <w:p w14:paraId="2FD0F3AD" w14:textId="77777777" w:rsidR="00BB3DDD" w:rsidRPr="00BB3DDD" w:rsidRDefault="00BB3DDD" w:rsidP="00BB3DDD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BB3DDD">
        <w:rPr>
          <w:rFonts w:ascii="Open Sans" w:eastAsia="Calibri" w:hAnsi="Open Sans" w:cs="Open Sans"/>
          <w:kern w:val="3"/>
        </w:rPr>
        <w:t>W ramach naboru o dofinansowanie nie może ubiegać się podmiot, który zgodnie z </w:t>
      </w:r>
      <w:r w:rsidRPr="00BB3DDD">
        <w:rPr>
          <w:rFonts w:ascii="Open Sans" w:eastAsia="Calibri" w:hAnsi="Open Sans" w:cs="Open Sans"/>
          <w:b/>
          <w:bCs/>
          <w:kern w:val="3"/>
        </w:rPr>
        <w:t>kryterium formalnym nr 2</w:t>
      </w:r>
      <w:r w:rsidRPr="00BB3DDD">
        <w:rPr>
          <w:rFonts w:ascii="Open Sans" w:eastAsia="Calibri" w:hAnsi="Open Sans" w:cs="Open Sans"/>
          <w:kern w:val="3"/>
        </w:rPr>
        <w:t xml:space="preserve"> podlega wykluczeniu z możliwości otrzymania dofinansowania, w tym wykluczeniu, o którym mowa w:</w:t>
      </w:r>
    </w:p>
    <w:p w14:paraId="7E2102F8" w14:textId="77777777" w:rsidR="00BB3DDD" w:rsidRPr="00BB3DDD" w:rsidRDefault="00BB3DDD" w:rsidP="00A0323B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color w:val="000000" w:themeColor="text1"/>
          <w:kern w:val="3"/>
        </w:rPr>
      </w:pPr>
      <w:r w:rsidRPr="00BB3DDD">
        <w:rPr>
          <w:rFonts w:ascii="Open Sans" w:eastAsia="Calibri" w:hAnsi="Open Sans" w:cs="Open Sans"/>
          <w:color w:val="000000" w:themeColor="text1"/>
          <w:kern w:val="3"/>
        </w:rPr>
        <w:t>art. 207 ust. 4 ustawy z dnia 27 sierpnia 2009 r. o finansach publicznych;</w:t>
      </w:r>
    </w:p>
    <w:p w14:paraId="537BDD1A" w14:textId="77777777" w:rsidR="00BB3DDD" w:rsidRPr="00BB3DDD" w:rsidRDefault="00BB3DDD" w:rsidP="00A0323B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color w:val="000000" w:themeColor="text1"/>
          <w:kern w:val="3"/>
        </w:rPr>
      </w:pPr>
      <w:r w:rsidRPr="00BB3DDD">
        <w:rPr>
          <w:rFonts w:ascii="Open Sans" w:eastAsia="Calibri" w:hAnsi="Open Sans" w:cs="Open Sans"/>
          <w:color w:val="000000" w:themeColor="text1"/>
          <w:kern w:val="3"/>
        </w:rPr>
        <w:t>art. 12 ust. 1 pkt 1 ustawy z dnia 15 czerwca 2012 r. o skutkach powierzania wykonywania pracy cudzoziemcom przebywającym wbrew przepisom na terytorium Rzeczypospolitej Polskiej;</w:t>
      </w:r>
    </w:p>
    <w:p w14:paraId="51DE15C5" w14:textId="77777777" w:rsidR="00BB3DDD" w:rsidRPr="00BB3DDD" w:rsidRDefault="00BB3DDD" w:rsidP="00A0323B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color w:val="000000" w:themeColor="text1"/>
          <w:kern w:val="3"/>
        </w:rPr>
      </w:pPr>
      <w:r w:rsidRPr="00BB3DDD">
        <w:rPr>
          <w:rFonts w:ascii="Open Sans" w:eastAsia="Calibri" w:hAnsi="Open Sans" w:cs="Open Sans"/>
          <w:color w:val="000000" w:themeColor="text1"/>
          <w:kern w:val="3"/>
        </w:rPr>
        <w:t>art. 9 ust. 1 pkt 2a ustawy z dnia 28 października 2002 r. o odpowiedzialności podmiotów zbiorowych za czyny zabronione pod groźbą kary.</w:t>
      </w:r>
    </w:p>
    <w:p w14:paraId="3DF8B8E8" w14:textId="77777777" w:rsidR="00BB3DDD" w:rsidRPr="00FD6029" w:rsidRDefault="00BB3DDD" w:rsidP="00731DBF">
      <w:pPr>
        <w:keepNext/>
        <w:keepLines/>
        <w:suppressAutoHyphens/>
        <w:autoSpaceDN w:val="0"/>
        <w:spacing w:before="20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5ED2D063" w14:textId="77777777" w:rsidR="00BB3DDD" w:rsidRPr="00FD6029" w:rsidRDefault="00BB3DDD" w:rsidP="00BB3DDD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6C9B7DA3" w14:textId="77777777" w:rsidR="00BB3DDD" w:rsidRPr="00BB3DDD" w:rsidRDefault="00BB3DDD" w:rsidP="00BB3DDD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BB3DDD">
        <w:rPr>
          <w:rFonts w:ascii="Open Sans" w:eastAsia="Calibri" w:hAnsi="Open Sans" w:cs="Open Sans"/>
          <w:kern w:val="3"/>
        </w:rPr>
        <w:t>W ramach naboru o dofinansowanie nie może ubiegać się podmiot, który zgodnie z </w:t>
      </w:r>
      <w:r w:rsidRPr="00BB3DDD">
        <w:rPr>
          <w:rFonts w:ascii="Open Sans" w:eastAsia="Calibri" w:hAnsi="Open Sans" w:cs="Open Sans"/>
          <w:b/>
          <w:bCs/>
          <w:kern w:val="3"/>
        </w:rPr>
        <w:t>kryterium formalnym nr 2</w:t>
      </w:r>
      <w:r w:rsidRPr="00BB3DDD">
        <w:rPr>
          <w:rFonts w:ascii="Open Sans" w:eastAsia="Calibri" w:hAnsi="Open Sans" w:cs="Open Sans"/>
          <w:kern w:val="3"/>
        </w:rPr>
        <w:t xml:space="preserve"> podlega wykluczeniu z możliwości otrzymania dofinansowania, w tym wykluczeniu, o którym mowa w:</w:t>
      </w:r>
    </w:p>
    <w:p w14:paraId="242FD9B7" w14:textId="77777777" w:rsidR="00BB3DDD" w:rsidRPr="00BB3DDD" w:rsidRDefault="00BB3DDD" w:rsidP="00A0323B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color w:val="000000" w:themeColor="text1"/>
          <w:kern w:val="3"/>
        </w:rPr>
      </w:pPr>
      <w:r w:rsidRPr="00BB3DDD">
        <w:rPr>
          <w:rFonts w:ascii="Open Sans" w:eastAsia="Calibri" w:hAnsi="Open Sans" w:cs="Open Sans"/>
          <w:color w:val="000000" w:themeColor="text1"/>
          <w:kern w:val="3"/>
        </w:rPr>
        <w:t>art. 207 ust. 4 ustawy z dnia 27 sierpnia 2009 r. o finansach publicznych;</w:t>
      </w:r>
    </w:p>
    <w:p w14:paraId="5AC012ED" w14:textId="77777777" w:rsidR="00BB3DDD" w:rsidRPr="00BB3DDD" w:rsidRDefault="00BB3DDD" w:rsidP="00A0323B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color w:val="000000" w:themeColor="text1"/>
          <w:kern w:val="3"/>
        </w:rPr>
      </w:pPr>
      <w:r w:rsidRPr="00BB3DDD">
        <w:rPr>
          <w:rFonts w:ascii="Open Sans" w:eastAsia="Calibri" w:hAnsi="Open Sans" w:cs="Open Sans"/>
          <w:color w:val="000000" w:themeColor="text1"/>
          <w:kern w:val="3"/>
        </w:rPr>
        <w:t>art. 12 ust. 1 pkt 1 ustawy z dnia 15 czerwca 2012 r. o skutkach powierzania wykonywania pracy cudzoziemcom przebywającym wbrew przepisom na terytorium Rzeczypospolitej Polskiej;</w:t>
      </w:r>
    </w:p>
    <w:p w14:paraId="15A2F8F3" w14:textId="77777777" w:rsidR="00BB3DDD" w:rsidRPr="00BB3DDD" w:rsidRDefault="00BB3DDD" w:rsidP="00A0323B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color w:val="000000" w:themeColor="text1"/>
          <w:kern w:val="3"/>
        </w:rPr>
      </w:pPr>
      <w:r w:rsidRPr="00BB3DDD">
        <w:rPr>
          <w:rFonts w:ascii="Open Sans" w:eastAsia="Calibri" w:hAnsi="Open Sans" w:cs="Open Sans"/>
          <w:color w:val="000000" w:themeColor="text1"/>
          <w:kern w:val="3"/>
        </w:rPr>
        <w:t>art. 9 ust. 1 pkt 2a ustawy z dnia 28 października 2002 r. o odpowiedzialności podmiotów zbiorowych za czyny zabronione pod groźbą kary.</w:t>
      </w:r>
    </w:p>
    <w:p w14:paraId="19AA674F" w14:textId="32875C9E" w:rsidR="002474EC" w:rsidRPr="00FD6029" w:rsidRDefault="00BB3DDD" w:rsidP="00A847EF">
      <w:pPr>
        <w:pStyle w:val="Akapitzlist"/>
        <w:spacing w:before="240" w:after="240"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FD6029">
        <w:rPr>
          <w:rFonts w:ascii="Open Sans" w:eastAsia="Calibri" w:hAnsi="Open Sans" w:cs="Open Sans"/>
          <w:kern w:val="3"/>
        </w:rPr>
        <w:t>Kryterium nie dotyczy projektów, w których Wnioskodawcą jest Województwo Podlaskie.</w:t>
      </w:r>
    </w:p>
    <w:p w14:paraId="4929C407" w14:textId="2B627656" w:rsidR="00BA73F3" w:rsidRPr="00FD6029" w:rsidRDefault="00BA73F3" w:rsidP="00A0323B">
      <w:pPr>
        <w:pStyle w:val="Nagwek2"/>
        <w:numPr>
          <w:ilvl w:val="1"/>
          <w:numId w:val="6"/>
        </w:numPr>
        <w:spacing w:before="200" w:after="200"/>
        <w:rPr>
          <w:rFonts w:ascii="Open Sans" w:eastAsia="Times New Roman" w:hAnsi="Open Sans" w:cs="Open Sans"/>
          <w:b/>
          <w:bCs/>
          <w:color w:val="auto"/>
          <w:kern w:val="3"/>
          <w:sz w:val="22"/>
          <w:szCs w:val="22"/>
        </w:rPr>
      </w:pPr>
      <w:bookmarkStart w:id="26" w:name="_Toc150246556"/>
      <w:bookmarkStart w:id="27" w:name="_Hlk148611719"/>
      <w:r w:rsidRPr="00FD6029">
        <w:rPr>
          <w:rFonts w:ascii="Open Sans" w:eastAsia="Times New Roman" w:hAnsi="Open Sans" w:cs="Open Sans"/>
          <w:b/>
          <w:color w:val="auto"/>
          <w:kern w:val="3"/>
          <w:sz w:val="22"/>
          <w:szCs w:val="22"/>
        </w:rPr>
        <w:t>Warunki</w:t>
      </w:r>
      <w:r w:rsidRPr="00FD6029">
        <w:rPr>
          <w:rFonts w:ascii="Open Sans" w:eastAsia="Times New Roman" w:hAnsi="Open Sans" w:cs="Open Sans"/>
          <w:b/>
          <w:bCs/>
          <w:color w:val="auto"/>
          <w:kern w:val="3"/>
          <w:sz w:val="22"/>
          <w:szCs w:val="22"/>
        </w:rPr>
        <w:t xml:space="preserve"> realizacji projektów</w:t>
      </w:r>
      <w:bookmarkEnd w:id="26"/>
    </w:p>
    <w:p w14:paraId="5B924351" w14:textId="51CB3378" w:rsidR="002C75E2" w:rsidRPr="00FD6029" w:rsidRDefault="002C75E2" w:rsidP="002C75E2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2EB8EC27" w14:textId="4675FDCC" w:rsidR="007204D5" w:rsidRPr="00FD6029" w:rsidRDefault="007204D5" w:rsidP="00A0323B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40" w:lineRule="auto"/>
        <w:textAlignment w:val="baseline"/>
        <w:rPr>
          <w:rFonts w:ascii="Open Sans" w:hAnsi="Open Sans" w:cs="Open Sans"/>
          <w14:ligatures w14:val="standardContextual"/>
        </w:rPr>
      </w:pPr>
      <w:bookmarkStart w:id="28" w:name="_Hlk153521518"/>
      <w:r w:rsidRPr="00FD6029">
        <w:rPr>
          <w:rFonts w:ascii="Open Sans" w:eastAsia="Calibri" w:hAnsi="Open Sans" w:cs="Open Sans"/>
          <w:kern w:val="3"/>
        </w:rPr>
        <w:t>Wsparcie w obszarze ekonomii społecznej jest zgodne z „Krajowym Programem Rozwoju Ekonomii Społecznej do 2030 roku. Ekonomia solidarności społecznej”</w:t>
      </w:r>
      <w:r w:rsidR="003C2975" w:rsidRPr="00FD6029">
        <w:rPr>
          <w:vertAlign w:val="superscript"/>
          <w14:ligatures w14:val="standardContextual"/>
        </w:rPr>
        <w:t>1</w:t>
      </w:r>
      <w:r w:rsidRPr="00FD6029">
        <w:rPr>
          <w:rFonts w:ascii="Open Sans" w:eastAsia="Calibri" w:hAnsi="Open Sans" w:cs="Open Sans"/>
          <w:kern w:val="3"/>
        </w:rPr>
        <w:t xml:space="preserve"> i jego aktualizacją.</w:t>
      </w:r>
    </w:p>
    <w:bookmarkEnd w:id="28"/>
    <w:p w14:paraId="42950934" w14:textId="33EE6133" w:rsidR="00BA73F3" w:rsidRPr="00FD6029" w:rsidRDefault="00DA6982" w:rsidP="00BA73F3">
      <w:pPr>
        <w:rPr>
          <w:vertAlign w:val="superscript"/>
        </w:rPr>
      </w:pPr>
      <w:r w:rsidRPr="00FD6029">
        <w:rPr>
          <w:vertAlign w:val="superscript"/>
        </w:rPr>
        <w:t xml:space="preserve">1 </w:t>
      </w:r>
      <w:hyperlink r:id="rId8" w:history="1">
        <w:r w:rsidRPr="00FD6029">
          <w:rPr>
            <w:rStyle w:val="Hipercze"/>
            <w:rFonts w:ascii="Open Sans" w:hAnsi="Open Sans" w:cs="Open Sans"/>
            <w:b/>
            <w:kern w:val="3"/>
            <w:sz w:val="16"/>
            <w:szCs w:val="16"/>
            <w14:ligatures w14:val="standardContextual"/>
          </w:rPr>
          <w:t>https://isap.sejm.gov.pl/isap.nsf/DocDetails.xsp?id=WMP20220001171</w:t>
        </w:r>
      </w:hyperlink>
    </w:p>
    <w:bookmarkEnd w:id="27"/>
    <w:p w14:paraId="5C308F87" w14:textId="77777777" w:rsidR="000C7E1F" w:rsidRPr="00FD6029" w:rsidRDefault="002C75E2" w:rsidP="000C7E1F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024CE9F1" w14:textId="1AA3AE51" w:rsidR="002474EC" w:rsidRPr="00FD6029" w:rsidRDefault="000C7E1F" w:rsidP="000C7E1F">
      <w:pPr>
        <w:keepNext/>
        <w:keepLines/>
        <w:suppressAutoHyphens/>
        <w:autoSpaceDN w:val="0"/>
        <w:spacing w:after="0"/>
        <w:ind w:left="851" w:hanging="425"/>
        <w:contextualSpacing/>
        <w:textAlignment w:val="baseline"/>
        <w:outlineLvl w:val="1"/>
        <w:rPr>
          <w:rFonts w:ascii="Open Sans" w:eastAsia="Times New Roman" w:hAnsi="Open Sans" w:cs="Open Sans"/>
          <w:color w:val="000000" w:themeColor="text1"/>
          <w:kern w:val="3"/>
        </w:rPr>
      </w:pPr>
      <w:r w:rsidRPr="00FD6029">
        <w:rPr>
          <w:rFonts w:ascii="Open Sans" w:eastAsia="Times New Roman" w:hAnsi="Open Sans" w:cs="Open Sans"/>
          <w:color w:val="000000" w:themeColor="text1"/>
          <w:kern w:val="3"/>
        </w:rPr>
        <w:t>3)</w:t>
      </w:r>
      <w:r w:rsidRPr="00FD6029">
        <w:rPr>
          <w:rFonts w:ascii="Open Sans" w:eastAsia="Times New Roman" w:hAnsi="Open Sans" w:cs="Open Sans"/>
          <w:color w:val="000000" w:themeColor="text1"/>
          <w:kern w:val="3"/>
        </w:rPr>
        <w:tab/>
        <w:t>Wsparcie w obszarze ekonomii społecznej jest zgodne z „Krajowym Programem Rozwoju Ekonomii Społecznej do 2030 roku. Ekonomia solidarności społecznej”</w:t>
      </w:r>
      <w:r w:rsidR="003C2975" w:rsidRPr="00FD6029">
        <w:rPr>
          <w:rStyle w:val="Odwoanieprzypisudolnego"/>
          <w:rFonts w:ascii="Open Sans" w:eastAsia="Times New Roman" w:hAnsi="Open Sans" w:cs="Open Sans"/>
          <w:color w:val="000000" w:themeColor="text1"/>
          <w:kern w:val="3"/>
        </w:rPr>
        <w:t>1</w:t>
      </w:r>
      <w:r w:rsidRPr="00FD6029">
        <w:rPr>
          <w:rFonts w:ascii="Open Sans" w:eastAsia="Times New Roman" w:hAnsi="Open Sans" w:cs="Open Sans"/>
          <w:color w:val="000000" w:themeColor="text1"/>
          <w:kern w:val="3"/>
        </w:rPr>
        <w:t xml:space="preserve">  i jego aktualizacją.</w:t>
      </w:r>
    </w:p>
    <w:p w14:paraId="01728C21" w14:textId="49400046" w:rsidR="00DA6982" w:rsidRPr="00FD6029" w:rsidRDefault="004A7C88" w:rsidP="00DA6982">
      <w:pPr>
        <w:autoSpaceDE w:val="0"/>
        <w:adjustRightInd w:val="0"/>
        <w:spacing w:after="0"/>
        <w:rPr>
          <w:rFonts w:ascii="Open Sans" w:eastAsia="Calibri" w:hAnsi="Open Sans" w:cs="Open Sans"/>
          <w:sz w:val="16"/>
          <w:szCs w:val="16"/>
        </w:rPr>
      </w:pPr>
      <w:r>
        <w:rPr>
          <w:rFonts w:ascii="Open Sans" w:hAnsi="Open Sans" w:cs="Open Sans"/>
          <w:kern w:val="2"/>
          <w:vertAlign w:val="superscript"/>
          <w14:ligatures w14:val="standardContextual"/>
        </w:rPr>
        <w:t>1</w:t>
      </w:r>
      <w:r w:rsidR="00DA6982" w:rsidRPr="00FD6029">
        <w:rPr>
          <w:rFonts w:ascii="Open Sans" w:hAnsi="Open Sans" w:cs="Open Sans"/>
          <w:kern w:val="2"/>
          <w:vertAlign w:val="superscript"/>
          <w14:ligatures w14:val="standardContextual"/>
        </w:rPr>
        <w:t xml:space="preserve"> </w:t>
      </w:r>
      <w:r w:rsidR="00DA6982" w:rsidRPr="00FD6029">
        <w:rPr>
          <w:rFonts w:ascii="Open Sans" w:eastAsia="Calibri" w:hAnsi="Open Sans" w:cs="Open Sans"/>
          <w:sz w:val="16"/>
          <w:szCs w:val="16"/>
        </w:rPr>
        <w:t>Uchwała nr 164 Rady Ministrów z dnia 12 sierpnia 2014 r. w sprawie przyjęcia programu pod nazwą „Krajowy Program Rozwoju Ekonomii Społecznej do 2023 roku. Ekonomia Solidarności Społecznej” (M.P. poz. 811, z późn. zm.).</w:t>
      </w:r>
    </w:p>
    <w:p w14:paraId="292BC05A" w14:textId="77777777" w:rsidR="00EF785A" w:rsidRPr="00FD6029" w:rsidRDefault="00EF785A" w:rsidP="00EF785A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lastRenderedPageBreak/>
        <w:t xml:space="preserve">Było: </w:t>
      </w:r>
    </w:p>
    <w:p w14:paraId="603D4E64" w14:textId="77777777" w:rsidR="00F76D61" w:rsidRPr="00FD6029" w:rsidRDefault="00F76D61" w:rsidP="00A0323B">
      <w:pPr>
        <w:numPr>
          <w:ilvl w:val="0"/>
          <w:numId w:val="8"/>
        </w:numPr>
        <w:spacing w:before="120" w:after="120"/>
        <w:contextualSpacing/>
        <w:rPr>
          <w:rFonts w:ascii="Open Sans" w:hAnsi="Open Sans" w:cs="Open Sans"/>
          <w:lang w:eastAsia="pl-PL"/>
        </w:rPr>
      </w:pPr>
      <w:r w:rsidRPr="00FD6029">
        <w:rPr>
          <w:rFonts w:ascii="Open Sans" w:hAnsi="Open Sans" w:cs="Open Sans"/>
          <w14:ligatures w14:val="standardContextual"/>
        </w:rPr>
        <w:t xml:space="preserve">Dofinansowanie realizacji indywidualnego planu reintegracyjnego, o którym mowa w art. 6 ust. 1 ustawy z dnia 5 sierpnia 2022 r. o ekonomii społecznej, powiązane jest z wypłatą wsparcia reintegracyjnego i w całym okresie realizacji planu wynosi do 300% minimalnego wynagrodzenia za pracę na jednego pracownika, o którym mowa w </w:t>
      </w:r>
      <w:r w:rsidRPr="00FD6029">
        <w:rPr>
          <w:rFonts w:ascii="Open Sans" w:hAnsi="Open Sans" w:cs="Open Sans"/>
          <w:b/>
          <w:bCs/>
        </w:rPr>
        <w:t>kryterium szczególnym nr 7.</w:t>
      </w:r>
    </w:p>
    <w:p w14:paraId="0074351D" w14:textId="77777777" w:rsidR="00EF785A" w:rsidRPr="00FD6029" w:rsidRDefault="00EF785A" w:rsidP="00DA6982">
      <w:pPr>
        <w:autoSpaceDE w:val="0"/>
        <w:adjustRightInd w:val="0"/>
        <w:spacing w:after="0"/>
        <w:rPr>
          <w:rFonts w:ascii="Open Sans" w:eastAsia="Calibri" w:hAnsi="Open Sans" w:cs="Open Sans"/>
          <w:kern w:val="3"/>
          <w:sz w:val="16"/>
          <w:szCs w:val="16"/>
        </w:rPr>
      </w:pPr>
    </w:p>
    <w:p w14:paraId="43532EA8" w14:textId="77777777" w:rsidR="00EF785A" w:rsidRPr="00FD6029" w:rsidRDefault="00EF785A" w:rsidP="00EF785A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636230D2" w14:textId="77777777" w:rsidR="0072479D" w:rsidRPr="00FD6029" w:rsidRDefault="0009409F" w:rsidP="00A0323B">
      <w:pPr>
        <w:numPr>
          <w:ilvl w:val="0"/>
          <w:numId w:val="9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  <w:lang w:eastAsia="pl-PL"/>
        </w:rPr>
      </w:pPr>
      <w:r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72479D" w:rsidRPr="00EF785A">
        <w:rPr>
          <w:rFonts w:ascii="Open Sans" w:hAnsi="Open Sans" w:cs="Open Sans"/>
          <w:kern w:val="3"/>
          <w14:ligatures w14:val="standardContextual"/>
        </w:rPr>
        <w:t xml:space="preserve">Dofinansowanie realizacji indywidualnego planu reintegracyjnego, o którym mowa w art. 6 ustawy z dnia 5 sierpnia 2022 r. o ekonomii społecznej, powiązane jest z wypłatą (w formie refundacji) wsparcia reintegracyjnego i w całym okresie realizacji planu wynosi do 300% minimalnego wynagrodzenia za pracę na jednego pracownika, o którym mowa w </w:t>
      </w:r>
      <w:r w:rsidR="0072479D" w:rsidRPr="00EF785A">
        <w:rPr>
          <w:rFonts w:ascii="Open Sans" w:eastAsia="Calibri" w:hAnsi="Open Sans" w:cs="Open Sans"/>
          <w:b/>
          <w:bCs/>
          <w:kern w:val="3"/>
        </w:rPr>
        <w:t>kryterium szczególnym nr 7.</w:t>
      </w:r>
    </w:p>
    <w:p w14:paraId="30D807AE" w14:textId="77777777" w:rsidR="00AE604C" w:rsidRDefault="00AE604C" w:rsidP="00AE604C">
      <w:pPr>
        <w:suppressAutoHyphens/>
        <w:autoSpaceDN w:val="0"/>
        <w:spacing w:before="120" w:after="120" w:line="240" w:lineRule="auto"/>
        <w:ind w:left="720"/>
        <w:contextualSpacing/>
        <w:textAlignment w:val="baseline"/>
        <w:rPr>
          <w:rFonts w:ascii="Open Sans" w:eastAsia="Calibri" w:hAnsi="Open Sans" w:cs="Open Sans"/>
          <w:kern w:val="3"/>
          <w:lang w:eastAsia="pl-PL"/>
        </w:rPr>
      </w:pPr>
    </w:p>
    <w:p w14:paraId="4383F8F2" w14:textId="77777777" w:rsidR="00F075B8" w:rsidRPr="00EF785A" w:rsidRDefault="00F075B8" w:rsidP="00AE604C">
      <w:pPr>
        <w:suppressAutoHyphens/>
        <w:autoSpaceDN w:val="0"/>
        <w:spacing w:before="120" w:after="120" w:line="240" w:lineRule="auto"/>
        <w:ind w:left="720"/>
        <w:contextualSpacing/>
        <w:textAlignment w:val="baseline"/>
        <w:rPr>
          <w:rFonts w:ascii="Open Sans" w:eastAsia="Calibri" w:hAnsi="Open Sans" w:cs="Open Sans"/>
          <w:kern w:val="3"/>
          <w:lang w:eastAsia="pl-PL"/>
        </w:rPr>
      </w:pPr>
    </w:p>
    <w:p w14:paraId="005FC3AC" w14:textId="3B63C5B6" w:rsidR="0009409F" w:rsidRPr="00FD6029" w:rsidRDefault="00AE604C" w:rsidP="008B4EA0">
      <w:pPr>
        <w:keepNext/>
        <w:keepLines/>
        <w:suppressAutoHyphens/>
        <w:autoSpaceDN w:val="0"/>
        <w:spacing w:before="200" w:after="160" w:line="240" w:lineRule="auto"/>
        <w:textAlignment w:val="baseline"/>
        <w:outlineLvl w:val="1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1D7D9BDE" w14:textId="77777777" w:rsidR="00AE604C" w:rsidRPr="00AE604C" w:rsidRDefault="00AE604C" w:rsidP="00A0323B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AE604C">
        <w:rPr>
          <w:rFonts w:ascii="Open Sans" w:hAnsi="Open Sans" w:cs="Open Sans"/>
          <w14:ligatures w14:val="standardContextual"/>
        </w:rPr>
        <w:t>OWES zobowiązane są do wdrożenia procedur zapewniających brak podwójnego finansowania działań finansowanych z EFS+ ze środkami przeznaczonymi na wsparcie ekonomii społecznej w ramach Krajowego Planu Odbudowy.</w:t>
      </w:r>
    </w:p>
    <w:p w14:paraId="6563A67A" w14:textId="24252811" w:rsidR="00AE604C" w:rsidRPr="00FD6029" w:rsidRDefault="00AE604C" w:rsidP="008B4EA0">
      <w:pPr>
        <w:keepNext/>
        <w:keepLines/>
        <w:suppressAutoHyphens/>
        <w:autoSpaceDN w:val="0"/>
        <w:spacing w:before="200" w:after="160" w:line="240" w:lineRule="auto"/>
        <w:textAlignment w:val="baseline"/>
        <w:outlineLvl w:val="1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5C33D287" w14:textId="7E0DEF37" w:rsidR="00AE604C" w:rsidRPr="00B004C6" w:rsidRDefault="00AE604C" w:rsidP="00A0323B">
      <w:pPr>
        <w:pStyle w:val="Akapitzlist"/>
        <w:keepNext/>
        <w:keepLines/>
        <w:numPr>
          <w:ilvl w:val="0"/>
          <w:numId w:val="11"/>
        </w:numPr>
        <w:suppressAutoHyphens/>
        <w:autoSpaceDN w:val="0"/>
        <w:spacing w:before="200" w:after="160" w:line="240" w:lineRule="auto"/>
        <w:textAlignment w:val="baseline"/>
        <w:outlineLvl w:val="1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14:ligatures w14:val="standardContextual"/>
        </w:rPr>
        <w:t>OWES zobowiązane są do wdrożenia procedur zapewniających brak podwójnego finansowania działań finansowanych z EFS+ ze środkami przeznaczonymi na wsparcie ekonomii społecznej w ramach KPO lub FERS</w:t>
      </w:r>
      <w:r w:rsidR="004635F7" w:rsidRPr="00FD6029">
        <w:rPr>
          <w:rFonts w:ascii="Open Sans" w:hAnsi="Open Sans" w:cs="Open Sans"/>
          <w14:ligatures w14:val="standardContextual"/>
        </w:rPr>
        <w:t>.</w:t>
      </w:r>
    </w:p>
    <w:p w14:paraId="1991398C" w14:textId="77777777" w:rsidR="00B004C6" w:rsidRPr="00FD6029" w:rsidRDefault="00B004C6" w:rsidP="00B004C6">
      <w:pPr>
        <w:pStyle w:val="Akapitzlist"/>
        <w:keepNext/>
        <w:keepLines/>
        <w:suppressAutoHyphens/>
        <w:autoSpaceDN w:val="0"/>
        <w:spacing w:before="200" w:after="160" w:line="240" w:lineRule="auto"/>
        <w:textAlignment w:val="baseline"/>
        <w:outlineLvl w:val="1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60C79F79" w14:textId="02759E5C" w:rsidR="00DA6982" w:rsidRPr="00FD6029" w:rsidRDefault="00D40987" w:rsidP="008B4EA0">
      <w:pPr>
        <w:keepNext/>
        <w:keepLines/>
        <w:suppressAutoHyphens/>
        <w:autoSpaceDN w:val="0"/>
        <w:spacing w:before="200" w:after="160" w:line="240" w:lineRule="auto"/>
        <w:textAlignment w:val="baseline"/>
        <w:outlineLvl w:val="1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3FD5CE04" w14:textId="77777777" w:rsidR="00D40987" w:rsidRPr="00D40987" w:rsidRDefault="00D40987" w:rsidP="00A0323B">
      <w:pPr>
        <w:numPr>
          <w:ilvl w:val="0"/>
          <w:numId w:val="11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Podwójne finansowanie, o którym mowa w pkt 34, nie wystąpi jeżeli:</w:t>
      </w:r>
    </w:p>
    <w:p w14:paraId="084D3C09" w14:textId="77777777" w:rsidR="00D40987" w:rsidRPr="00D40987" w:rsidRDefault="00D40987" w:rsidP="00A0323B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240" w:lineRule="auto"/>
        <w:ind w:left="993" w:hanging="284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PES nie wnioskował, ani nie otrzymał środków w ramach KPO – na potwierdzenie czego PES składa oświadczenie, że nie wnioskuje, ani nie otrzymał środków KPO;</w:t>
      </w:r>
    </w:p>
    <w:p w14:paraId="1604CAD0" w14:textId="77777777" w:rsidR="00D40987" w:rsidRPr="00D40987" w:rsidRDefault="00D40987" w:rsidP="00A0323B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240" w:lineRule="auto"/>
        <w:ind w:left="993" w:hanging="284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PES otrzymał wcześniej środki w ramach KPO lub złożył wniosek o środki w ramach KPO, ale:</w:t>
      </w:r>
    </w:p>
    <w:p w14:paraId="50E5411D" w14:textId="77777777" w:rsidR="00D40987" w:rsidRPr="00D40987" w:rsidRDefault="00D40987" w:rsidP="00A0323B">
      <w:pPr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240" w:lineRule="auto"/>
        <w:ind w:left="1276" w:hanging="142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wnioskuje do OWES o wsparcie finansowe bezzwrotne ze środków EFS+ po upływie 6 miesięcy od dnia zatwierdzenia wniosku o środki w ramach KPO, a wsparcie w ramach KPO zostało rozliczone przez ministra właściwego do spraw zabezpieczenia społecznego – na potwierdzenie czego PES składa zatwierdzone przez ministra wniosek o środki KPO oraz rozliczenie wsparcia z KPO lub</w:t>
      </w:r>
    </w:p>
    <w:p w14:paraId="05FFCE2E" w14:textId="77777777" w:rsidR="00D40987" w:rsidRPr="00D40987" w:rsidRDefault="00D40987" w:rsidP="00A0323B">
      <w:pPr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240" w:lineRule="auto"/>
        <w:ind w:left="1276" w:hanging="142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 xml:space="preserve">wnioskuje do OWES o wsparcie finansowe bezzwrotne ze środków EFS+ przed upływem 6 miesięcy od dnia zatwierdzenia wniosku o środki w ramach KPO, lecz zlecony przez PES (na jego koszt) audyt zewnętrzny </w:t>
      </w:r>
      <w:r w:rsidRPr="00D40987">
        <w:rPr>
          <w:rFonts w:ascii="Open Sans" w:hAnsi="Open Sans" w:cs="Open Sans"/>
          <w14:ligatures w14:val="standardContextual"/>
        </w:rPr>
        <w:lastRenderedPageBreak/>
        <w:t>potwierdzi brak podwójnego finansowania – na potwierdzenie czego przedłoży wyniki audytu zewnętrznego (tj. raport z opinii biegłego rewidenta) w ramach rozliczenia środków KPO i EFS+, pod warunkiem niekwalifikowania wsparcia bezzwrotnego ze środków EFS+.</w:t>
      </w:r>
    </w:p>
    <w:p w14:paraId="3C73B90B" w14:textId="2E054AB1" w:rsidR="00D40987" w:rsidRPr="00FD6029" w:rsidRDefault="00D40987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61C4DB9C" w14:textId="77777777" w:rsidR="00D40987" w:rsidRPr="00D40987" w:rsidRDefault="00D40987" w:rsidP="00A0323B">
      <w:pPr>
        <w:numPr>
          <w:ilvl w:val="0"/>
          <w:numId w:val="14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Podwójne finansowanie, o którym mowa w pkt 34, nie wystąpi jeżeli:</w:t>
      </w:r>
    </w:p>
    <w:p w14:paraId="5829CFCE" w14:textId="77777777" w:rsidR="00D40987" w:rsidRPr="00D40987" w:rsidRDefault="00D40987" w:rsidP="00A0323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PES nie wnioskował, ani nie otrzymał środków w ramach KPO lub FERS – na potwierdzenie czego PES składa oświadczenie, że nie wnioskuje, ani nie otrzymał środków KPO lub FERS;</w:t>
      </w:r>
    </w:p>
    <w:p w14:paraId="5715ED66" w14:textId="77777777" w:rsidR="00D40987" w:rsidRPr="00D40987" w:rsidRDefault="00D40987" w:rsidP="00A0323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PES otrzymał wcześniej środki lub złożył wniosek o środki w ramach KPO lub FERS, ale wnioskuje do OWES o wsparcie finansowe bezzwrotne ze środków EFS+:</w:t>
      </w:r>
    </w:p>
    <w:p w14:paraId="7F413A8B" w14:textId="77777777" w:rsidR="00D40987" w:rsidRPr="00D40987" w:rsidRDefault="00D40987" w:rsidP="00630F56">
      <w:pPr>
        <w:numPr>
          <w:ilvl w:val="0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ind w:left="1276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po upływie 6 miesięcy od dnia zatwierdzenia wniosku o środki w ramach KPO, a wsparcie w ramach KPO zostało rozliczone przez ministra właściwego do spraw zabezpieczenia społecznego – na potwierdzenie czego PES składa zatwierdzone przez ministra wniosek o środki KPO oraz rozliczenie wsparcia z KPO lub</w:t>
      </w:r>
    </w:p>
    <w:p w14:paraId="046FD432" w14:textId="77777777" w:rsidR="00D40987" w:rsidRPr="00D40987" w:rsidRDefault="00D40987" w:rsidP="00630F56">
      <w:pPr>
        <w:numPr>
          <w:ilvl w:val="0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ind w:left="1276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hAnsi="Open Sans" w:cs="Open Sans"/>
          <w14:ligatures w14:val="standardContextual"/>
        </w:rPr>
        <w:t>przed upływem 6 miesięcy od dnia zatwierdzenia wniosku o środki w ramach KPO, lecz zlecony przez PES (na jego koszt) audyt zewnętrzny potwierdzi brak podwójnego finansowania – na potwierdzenie czego przedłoży wyniki audytu zewnętrznego (tj. raport z opinii biegłego rewidenta) w ramach rozliczenia środków KPO i EFS+, pod warunkiem niekwalifikowania wsparcia bezzwrotnego ze środków EFS+ lub</w:t>
      </w:r>
    </w:p>
    <w:p w14:paraId="512C32A4" w14:textId="77777777" w:rsidR="00D40987" w:rsidRPr="00D40987" w:rsidRDefault="00D40987" w:rsidP="00630F56">
      <w:pPr>
        <w:numPr>
          <w:ilvl w:val="0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ind w:left="1276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eastAsia="Calibri" w:hAnsi="Open Sans" w:cs="Open Sans"/>
        </w:rPr>
        <w:t>po upływie 6 miesięcy od dnia zawarcia umowy pożyczki FERS lub</w:t>
      </w:r>
    </w:p>
    <w:p w14:paraId="279FAB6D" w14:textId="77777777" w:rsidR="00D40987" w:rsidRPr="00FD6029" w:rsidRDefault="00D40987" w:rsidP="00630F56">
      <w:pPr>
        <w:numPr>
          <w:ilvl w:val="0"/>
          <w:numId w:val="24"/>
        </w:numPr>
        <w:suppressAutoHyphens/>
        <w:autoSpaceDE w:val="0"/>
        <w:autoSpaceDN w:val="0"/>
        <w:adjustRightInd w:val="0"/>
        <w:spacing w:before="120" w:after="120" w:line="240" w:lineRule="auto"/>
        <w:ind w:left="1276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D40987">
        <w:rPr>
          <w:rFonts w:ascii="Open Sans" w:eastAsia="Calibri" w:hAnsi="Open Sans" w:cs="Open Sans"/>
        </w:rPr>
        <w:t>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 w14:paraId="6915B604" w14:textId="77777777" w:rsidR="00C921C6" w:rsidRPr="00D40987" w:rsidRDefault="00C921C6" w:rsidP="00C921C6">
      <w:pPr>
        <w:suppressAutoHyphens/>
        <w:autoSpaceDE w:val="0"/>
        <w:autoSpaceDN w:val="0"/>
        <w:adjustRightInd w:val="0"/>
        <w:spacing w:before="120" w:after="120" w:line="240" w:lineRule="auto"/>
        <w:ind w:left="1276"/>
        <w:contextualSpacing/>
        <w:textAlignment w:val="baseline"/>
        <w:rPr>
          <w:rFonts w:ascii="Open Sans" w:hAnsi="Open Sans" w:cs="Open Sans"/>
          <w14:ligatures w14:val="standardContextual"/>
        </w:rPr>
      </w:pPr>
    </w:p>
    <w:p w14:paraId="0F77BB9E" w14:textId="79A7D2F3" w:rsidR="00D40987" w:rsidRPr="00FD6029" w:rsidRDefault="00C921C6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00F4AF31" w14:textId="77777777" w:rsidR="00C921C6" w:rsidRPr="00C921C6" w:rsidRDefault="00C921C6" w:rsidP="00A0323B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C921C6">
        <w:rPr>
          <w:rFonts w:ascii="Open Sans" w:hAnsi="Open Sans" w:cs="Open Sans"/>
          <w14:ligatures w14:val="standardContextual"/>
        </w:rPr>
        <w:t>OWES zobowiązane są do weryfikacji dokumentów, o których mowa w pkt 35, w szczególności prawdziwości składanych przez PES oświadczeń w oparciu o listę beneficjentów KPO prowadzoną przez ministra właściwego do spraw zabezpieczenia społecznego i udostępnioną na stronie internetowej urzędu obsługującego tego ministra.</w:t>
      </w:r>
    </w:p>
    <w:p w14:paraId="71332120" w14:textId="724FD460" w:rsidR="00D40987" w:rsidRPr="00FD6029" w:rsidRDefault="00C921C6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0BC928E4" w14:textId="77777777" w:rsidR="00C921C6" w:rsidRPr="00FD6029" w:rsidRDefault="00C921C6" w:rsidP="00A0323B">
      <w:pPr>
        <w:numPr>
          <w:ilvl w:val="0"/>
          <w:numId w:val="17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C921C6">
        <w:rPr>
          <w:rFonts w:ascii="Open Sans" w:hAnsi="Open Sans" w:cs="Open Sans"/>
          <w14:ligatures w14:val="standardContextual"/>
        </w:rPr>
        <w:t>OWES zobowiązane są do weryfikacji dokumentów, o których mowa w pkt 35, w szczególności prawdziwości składanych przez PES oświadczeń w oparciu o listę beneficjentów KPO prowadzoną przez ministra właściwego do spraw zabezpieczenia społecznego i udostępnioną na stronie internetowej urzędu obsługującego tego ministra lub  w oparciu o informacje o udzielonych pożyczkach w ramach FERS opracowaną przez pośredników finansowych i udostępnioną na stronie internetowej Banku Gospodarstwa Krajowego lub w oparciu o informacje dostępne w Systemie Udostępniania Danych o Pomocy Publicznej (SUDOP).</w:t>
      </w:r>
    </w:p>
    <w:p w14:paraId="775D1853" w14:textId="77777777" w:rsidR="00CA2864" w:rsidRPr="00FD6029" w:rsidRDefault="00CA2864" w:rsidP="00CA2864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</w:p>
    <w:p w14:paraId="16128E03" w14:textId="4009C0C8" w:rsidR="00CA2864" w:rsidRPr="00FD6029" w:rsidRDefault="00CA2864" w:rsidP="00CA2864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:b/>
          <w:bCs/>
          <w14:ligatures w14:val="standardContextual"/>
        </w:rPr>
      </w:pPr>
      <w:r w:rsidRPr="00FD6029">
        <w:rPr>
          <w:rFonts w:ascii="Open Sans" w:hAnsi="Open Sans" w:cs="Open Sans"/>
          <w:b/>
          <w:bCs/>
          <w14:ligatures w14:val="standardContextual"/>
        </w:rPr>
        <w:t>Było:</w:t>
      </w:r>
    </w:p>
    <w:p w14:paraId="30697179" w14:textId="77777777" w:rsidR="00CA2864" w:rsidRPr="00CA2864" w:rsidRDefault="00CA2864" w:rsidP="00A0323B">
      <w:pPr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CA2864">
        <w:rPr>
          <w:rFonts w:ascii="Open Sans" w:hAnsi="Open Sans" w:cs="Open Sans"/>
          <w14:ligatures w14:val="standardContextual"/>
        </w:rPr>
        <w:t>OWES zobowiązane są do niezwłocznego wydawania pisemnego potwierdzenia o udzielonym w ramach EFS+ wsparciu finansowym, w przypadku wnioskowania przez te podmioty o środki przeznaczone na wsparcie ekonomii społecznej w ramach KPO.</w:t>
      </w:r>
    </w:p>
    <w:p w14:paraId="1152CC04" w14:textId="77777777" w:rsidR="00CA2864" w:rsidRPr="00C921C6" w:rsidRDefault="00CA2864" w:rsidP="00CA2864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</w:p>
    <w:p w14:paraId="526CF42D" w14:textId="5BB6BC74" w:rsidR="00D40987" w:rsidRPr="00FD6029" w:rsidRDefault="00CA286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2243B92A" w14:textId="77777777" w:rsidR="00CA2864" w:rsidRPr="00CA2864" w:rsidRDefault="00CA2864" w:rsidP="00A0323B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textAlignment w:val="baseline"/>
        <w:rPr>
          <w:rFonts w:ascii="Open Sans" w:hAnsi="Open Sans" w:cs="Open Sans"/>
          <w14:ligatures w14:val="standardContextual"/>
        </w:rPr>
      </w:pPr>
      <w:r w:rsidRPr="00CA2864">
        <w:rPr>
          <w:rFonts w:ascii="Open Sans" w:hAnsi="Open Sans" w:cs="Open Sans"/>
          <w14:ligatures w14:val="standardContextual"/>
        </w:rPr>
        <w:t>OWES zobowiązane są do niezwłocznego wydawania pisemnego potwierdzenia o udzielonym w ramach EFS+ wsparciu finansowym, w przypadku wnioskowania przez te podmioty o środki przeznaczone na wsparcie ekonomii społecznej w ramach KPO lub FERS.</w:t>
      </w:r>
    </w:p>
    <w:p w14:paraId="0DE1EA12" w14:textId="77777777" w:rsidR="00D40987" w:rsidRPr="00FD6029" w:rsidRDefault="00D40987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</w:p>
    <w:p w14:paraId="4497A78E" w14:textId="508D2B1D" w:rsidR="004E06ED" w:rsidRPr="00FD6029" w:rsidRDefault="004E06ED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2.8 Zasady horyzontalne</w:t>
      </w:r>
    </w:p>
    <w:p w14:paraId="6536A151" w14:textId="77777777" w:rsidR="004E06ED" w:rsidRPr="00FD6029" w:rsidRDefault="004E06ED" w:rsidP="004E06ED">
      <w:pPr>
        <w:pStyle w:val="Nagwek3"/>
        <w:spacing w:before="200" w:after="200"/>
        <w:rPr>
          <w:rFonts w:ascii="Open Sans" w:eastAsia="Times New Roman" w:hAnsi="Open Sans" w:cs="Open Sans"/>
          <w:b/>
          <w:color w:val="auto"/>
          <w:kern w:val="3"/>
          <w:sz w:val="22"/>
          <w:szCs w:val="22"/>
        </w:rPr>
      </w:pPr>
      <w:r w:rsidRPr="00F075B8">
        <w:rPr>
          <w:rFonts w:ascii="Open Sans" w:hAnsi="Open Sans" w:cs="Open Sans"/>
          <w:b/>
          <w:bCs/>
          <w:color w:val="auto"/>
          <w:kern w:val="2"/>
          <w:sz w:val="22"/>
          <w:szCs w:val="22"/>
          <w14:ligatures w14:val="standardContextual"/>
        </w:rPr>
        <w:t xml:space="preserve">2.8.2 </w:t>
      </w:r>
      <w:bookmarkStart w:id="29" w:name="_Toc150246562"/>
      <w:r w:rsidRPr="00FD6029">
        <w:rPr>
          <w:rFonts w:ascii="Open Sans" w:eastAsia="Times New Roman" w:hAnsi="Open Sans" w:cs="Open Sans"/>
          <w:b/>
          <w:color w:val="auto"/>
          <w:kern w:val="3"/>
          <w:sz w:val="22"/>
          <w:szCs w:val="22"/>
        </w:rPr>
        <w:t>Zasada zrównoważonego rozwoju</w:t>
      </w:r>
      <w:bookmarkEnd w:id="29"/>
    </w:p>
    <w:p w14:paraId="7DC42071" w14:textId="2F96BB2E" w:rsidR="00D40987" w:rsidRPr="00FD6029" w:rsidRDefault="004E06ED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173C38FB" w14:textId="77777777" w:rsidR="00602A0E" w:rsidRPr="00602A0E" w:rsidRDefault="00602A0E" w:rsidP="00602A0E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602A0E">
        <w:rPr>
          <w:rFonts w:ascii="Open Sans" w:eastAsia="Calibri" w:hAnsi="Open Sans" w:cs="Open Sans"/>
          <w:kern w:val="3"/>
        </w:rPr>
        <w:t xml:space="preserve">Zgodność projektu z zasadą zrównoważonego rozwoju jest oceniane w </w:t>
      </w:r>
      <w:r w:rsidRPr="00602A0E">
        <w:rPr>
          <w:rFonts w:ascii="Open Sans" w:eastAsia="Calibri" w:hAnsi="Open Sans" w:cs="Open Sans"/>
          <w:b/>
          <w:bCs/>
          <w:kern w:val="3"/>
        </w:rPr>
        <w:t>kryterium horyzontalnym nr 6</w:t>
      </w:r>
      <w:r w:rsidRPr="00602A0E">
        <w:rPr>
          <w:rFonts w:ascii="Open Sans" w:eastAsia="Calibri" w:hAnsi="Open Sans" w:cs="Open Sans"/>
          <w:kern w:val="3"/>
        </w:rPr>
        <w:t>. Ocenie podlegać będzie zgodność projektu z koncepcją zrównoważonego rozwoju, tj. poszanowania środowiska, postępu społecznego i wzrostu gospodarczego. Kryterium zostanie zweryfikowane na podstawie zapisów we wniosku o dofinansowanie projektu.</w:t>
      </w:r>
    </w:p>
    <w:p w14:paraId="5276C1ED" w14:textId="7AF3BAF5" w:rsidR="00602A0E" w:rsidRPr="00FD6029" w:rsidRDefault="00602A0E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6E022649" w14:textId="7D88BF29" w:rsidR="00544936" w:rsidRDefault="00602A0E" w:rsidP="00250E6E">
      <w:pPr>
        <w:autoSpaceDE w:val="0"/>
        <w:autoSpaceDN w:val="0"/>
        <w:adjustRightInd w:val="0"/>
        <w:rPr>
          <w:rFonts w:ascii="Open Sans" w:hAnsi="Open Sans" w:cs="Open Sans"/>
        </w:rPr>
      </w:pPr>
      <w:r w:rsidRPr="00FD6029">
        <w:rPr>
          <w:rFonts w:ascii="Open Sans" w:hAnsi="Open Sans" w:cs="Open Sans"/>
        </w:rPr>
        <w:t xml:space="preserve">Zgodność projektu z zasadą zrównoważonego rozwoju jest oceniane w </w:t>
      </w:r>
      <w:r w:rsidRPr="00FD6029">
        <w:rPr>
          <w:rFonts w:ascii="Open Sans" w:hAnsi="Open Sans" w:cs="Open Sans"/>
          <w:b/>
          <w:bCs/>
        </w:rPr>
        <w:t>kryterium horyzontalnym nr 6</w:t>
      </w:r>
      <w:r w:rsidRPr="00FD6029">
        <w:rPr>
          <w:rFonts w:ascii="Open Sans" w:hAnsi="Open Sans" w:cs="Open Sans"/>
        </w:rPr>
        <w:t>. Ocenie podlegać będzie zgodność projektu z zasadą zrównoważonego rozwoju, tj. poszanowania środowiska, postępu społecznego i wzrostu gospodarczego. Kryterium zostanie zweryfikowane na podstawie zapisów we wniosku o dofinansowanie projektu</w:t>
      </w:r>
      <w:r w:rsidR="00544936" w:rsidRPr="00FD6029">
        <w:rPr>
          <w:rFonts w:ascii="Open Sans" w:hAnsi="Open Sans" w:cs="Open Sans"/>
        </w:rPr>
        <w:t>.</w:t>
      </w:r>
    </w:p>
    <w:p w14:paraId="4D9F2784" w14:textId="77777777" w:rsidR="00736894" w:rsidRPr="00FD6029" w:rsidRDefault="00736894" w:rsidP="00250E6E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2B52DCA3" w14:textId="783F78CD" w:rsidR="00544936" w:rsidRPr="00FD6029" w:rsidRDefault="00544936" w:rsidP="00544936">
      <w:pPr>
        <w:pStyle w:val="Nagwek2"/>
        <w:suppressAutoHyphens/>
        <w:autoSpaceDN w:val="0"/>
        <w:spacing w:before="200" w:after="200"/>
        <w:textAlignment w:val="baseline"/>
        <w:rPr>
          <w:rFonts w:ascii="Open Sans" w:eastAsia="Times New Roman" w:hAnsi="Open Sans" w:cs="Open Sans"/>
          <w:bCs/>
          <w:color w:val="000000" w:themeColor="text1"/>
          <w:kern w:val="3"/>
          <w:sz w:val="22"/>
          <w:szCs w:val="22"/>
        </w:rPr>
      </w:pPr>
      <w:r w:rsidRPr="00FD6029">
        <w:rPr>
          <w:rFonts w:ascii="Open Sans" w:hAnsi="Open Sans" w:cs="Open Sans"/>
          <w:b/>
          <w:bCs/>
          <w:color w:val="auto"/>
          <w:sz w:val="22"/>
          <w:szCs w:val="22"/>
        </w:rPr>
        <w:t>3.10</w:t>
      </w:r>
      <w:r w:rsidRPr="00FD6029">
        <w:rPr>
          <w:rFonts w:ascii="Open Sans" w:hAnsi="Open Sans" w:cs="Open Sans"/>
          <w:color w:val="auto"/>
        </w:rPr>
        <w:t xml:space="preserve"> </w:t>
      </w:r>
      <w:bookmarkStart w:id="30" w:name="_Toc134788927"/>
      <w:bookmarkStart w:id="31" w:name="_Toc134791372"/>
      <w:bookmarkStart w:id="32" w:name="_Toc135639019"/>
      <w:bookmarkStart w:id="33" w:name="_Toc135639160"/>
      <w:bookmarkStart w:id="34" w:name="_Toc135646035"/>
      <w:bookmarkStart w:id="35" w:name="_Toc135646474"/>
      <w:bookmarkStart w:id="36" w:name="_Toc135729923"/>
      <w:bookmarkStart w:id="37" w:name="_Toc135730653"/>
      <w:bookmarkStart w:id="38" w:name="_Toc135739817"/>
      <w:bookmarkStart w:id="39" w:name="_Toc135740182"/>
      <w:bookmarkStart w:id="40" w:name="_Toc135741384"/>
      <w:bookmarkStart w:id="41" w:name="_Toc135741426"/>
      <w:bookmarkStart w:id="42" w:name="_Toc135741902"/>
      <w:bookmarkStart w:id="43" w:name="_Toc135743580"/>
      <w:bookmarkStart w:id="44" w:name="_Toc135744666"/>
      <w:bookmarkStart w:id="45" w:name="_Toc135744716"/>
      <w:bookmarkStart w:id="46" w:name="_Toc135744766"/>
      <w:bookmarkStart w:id="47" w:name="_Toc135806871"/>
      <w:bookmarkStart w:id="48" w:name="_Toc135806913"/>
      <w:bookmarkStart w:id="49" w:name="_Toc135807794"/>
      <w:bookmarkStart w:id="50" w:name="_Toc135808273"/>
      <w:bookmarkStart w:id="51" w:name="_Toc135808460"/>
      <w:bookmarkStart w:id="52" w:name="_Toc135808662"/>
      <w:bookmarkStart w:id="53" w:name="_Toc150246586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  <w:sz w:val="22"/>
          <w:szCs w:val="22"/>
        </w:rPr>
        <w:t>Uproszczone metody rozliczania projektu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95484EC" w14:textId="4D4E838B" w:rsidR="00544936" w:rsidRPr="00FD6029" w:rsidRDefault="00544936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77E67BAE" w14:textId="47293928" w:rsidR="00544936" w:rsidRPr="00544936" w:rsidRDefault="00CA669C" w:rsidP="00A0323B">
      <w:pPr>
        <w:numPr>
          <w:ilvl w:val="0"/>
          <w:numId w:val="20"/>
        </w:numPr>
        <w:suppressAutoHyphens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Open Sans" w:hAnsi="Open Sans" w:cs="Open Sans"/>
          <w14:ligatures w14:val="standardContextual"/>
        </w:rPr>
      </w:pPr>
      <w:r>
        <w:rPr>
          <w:rFonts w:ascii="Open Sans" w:hAnsi="Open Sans" w:cs="Open Sans"/>
          <w14:ligatures w14:val="standardContextual"/>
        </w:rPr>
        <w:t xml:space="preserve">(…) </w:t>
      </w:r>
      <w:r w:rsidR="00544936" w:rsidRPr="00544936">
        <w:rPr>
          <w:rFonts w:ascii="Open Sans" w:hAnsi="Open Sans" w:cs="Open Sans"/>
          <w14:ligatures w14:val="standardContextual"/>
        </w:rPr>
        <w:t>Pomiar wskaźnika dokonywany jest do 3 miesięcy od wypłaty wsparcia w celu potwierdzenia faktycznego utworzenia miejsca pracy i tym samym</w:t>
      </w:r>
      <w:r w:rsidR="00544936" w:rsidRPr="00544936">
        <w:rPr>
          <w:rFonts w:ascii="Open Sans" w:hAnsi="Open Sans" w:cs="Open Sans"/>
          <w:sz w:val="24"/>
          <w:szCs w:val="24"/>
          <w14:ligatures w14:val="standardContextual"/>
        </w:rPr>
        <w:t xml:space="preserve"> </w:t>
      </w:r>
      <w:r w:rsidR="00544936" w:rsidRPr="00544936">
        <w:rPr>
          <w:rFonts w:ascii="Open Sans" w:hAnsi="Open Sans" w:cs="Open Sans"/>
          <w14:ligatures w14:val="standardContextual"/>
        </w:rPr>
        <w:t xml:space="preserve">kwalifikowalności stawki utworzenia miejsca pracy. Za dzień utworzenia miejsca pracy uznaje się datę rozpoczęcia pracy nowozatrudnionej osoby. Brak utworzenia miejsca pracy w terminie do 3 miesięcy od dnia podpisania umowy wsparcia oznacza konieczność zwrotu przez PS otrzymanych środków. W </w:t>
      </w:r>
      <w:r w:rsidR="00544936" w:rsidRPr="00544936">
        <w:rPr>
          <w:rFonts w:ascii="Open Sans" w:hAnsi="Open Sans" w:cs="Open Sans"/>
          <w14:ligatures w14:val="standardContextual"/>
        </w:rPr>
        <w:lastRenderedPageBreak/>
        <w:t>uzasadnionych przypadkach istnieje możliwość wydłużenia tego terminu maksymalnie o 30 dni</w:t>
      </w:r>
      <w:r w:rsidR="00544936" w:rsidRPr="00544936">
        <w:rPr>
          <w:rFonts w:ascii="Open Sans" w:hAnsi="Open Sans" w:cs="Open Sans"/>
          <w:vertAlign w:val="superscript"/>
          <w14:ligatures w14:val="standardContextual"/>
        </w:rPr>
        <w:footnoteReference w:id="1"/>
      </w:r>
      <w:r w:rsidR="00C928D4">
        <w:rPr>
          <w:rFonts w:ascii="Open Sans" w:hAnsi="Open Sans" w:cs="Open Sans"/>
          <w:vertAlign w:val="superscript"/>
          <w14:ligatures w14:val="standardContextual"/>
        </w:rPr>
        <w:t>3</w:t>
      </w:r>
      <w:r w:rsidR="00544936" w:rsidRPr="00544936">
        <w:rPr>
          <w:rFonts w:ascii="Open Sans" w:hAnsi="Open Sans" w:cs="Open Sans"/>
          <w14:ligatures w14:val="standardContextual"/>
        </w:rPr>
        <w:t>. Do wskaźnika wlicza się każde miejsce pracy, które zostało utworzone w ramach projektu, bez względu na wymiar etatu.</w:t>
      </w:r>
    </w:p>
    <w:p w14:paraId="5C3DE925" w14:textId="7F2A33D9" w:rsidR="00544936" w:rsidRPr="00FD6029" w:rsidRDefault="00544936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3EDC6838" w14:textId="562EAB63" w:rsidR="00544936" w:rsidRPr="00544936" w:rsidRDefault="00CA669C" w:rsidP="00CA669C">
      <w:pPr>
        <w:autoSpaceDE w:val="0"/>
        <w:autoSpaceDN w:val="0"/>
        <w:adjustRightInd w:val="0"/>
        <w:spacing w:before="120" w:after="120"/>
        <w:ind w:left="720"/>
        <w:rPr>
          <w:rFonts w:ascii="Open Sans" w:hAnsi="Open Sans" w:cs="Open Sans"/>
          <w14:ligatures w14:val="standardContextual"/>
        </w:rPr>
      </w:pPr>
      <w:r>
        <w:rPr>
          <w:rFonts w:ascii="Open Sans" w:hAnsi="Open Sans" w:cs="Open Sans"/>
          <w14:ligatures w14:val="standardContextual"/>
        </w:rPr>
        <w:t xml:space="preserve">(…) </w:t>
      </w:r>
      <w:r w:rsidR="00544936" w:rsidRPr="00544936">
        <w:rPr>
          <w:rFonts w:ascii="Open Sans" w:hAnsi="Open Sans" w:cs="Open Sans"/>
          <w14:ligatures w14:val="standardContextual"/>
        </w:rPr>
        <w:t>Pomiar wskaźnika dokonywany jest do 3 miesięcy od wypłaty wsparcia w celu potwierdzenia faktycznego utworzenia miejsca pracy i tym samym</w:t>
      </w:r>
      <w:r w:rsidR="00544936" w:rsidRPr="00544936">
        <w:rPr>
          <w:rFonts w:ascii="Open Sans" w:hAnsi="Open Sans" w:cs="Open Sans"/>
          <w:sz w:val="24"/>
          <w:szCs w:val="24"/>
          <w14:ligatures w14:val="standardContextual"/>
        </w:rPr>
        <w:t xml:space="preserve"> </w:t>
      </w:r>
      <w:r w:rsidR="00544936" w:rsidRPr="00544936">
        <w:rPr>
          <w:rFonts w:ascii="Open Sans" w:hAnsi="Open Sans" w:cs="Open Sans"/>
          <w14:ligatures w14:val="standardContextual"/>
        </w:rPr>
        <w:t>kwalifikowalności stawki utworzenia miejsca pracy. Za dzień utworzenia miejsca pracy uznaje się datę rozpoczęcia pracy nowozatrudnionej osoby. Brak utworzenia miejsca pracy w terminie do 3 miesięcy od dnia wypłaty środków oznacza konieczność zwrotu przez PS otrzymanych środków. W uzasadnionych przypadkach istnieje możliwość wydłużenia tego terminu maksymalnie o 30 dni</w:t>
      </w:r>
      <w:r w:rsidR="00C928D4">
        <w:rPr>
          <w:rFonts w:ascii="Open Sans" w:hAnsi="Open Sans" w:cs="Open Sans"/>
          <w:vertAlign w:val="superscript"/>
          <w14:ligatures w14:val="standardContextual"/>
        </w:rPr>
        <w:t>13</w:t>
      </w:r>
      <w:r w:rsidR="00544936" w:rsidRPr="00544936">
        <w:rPr>
          <w:rFonts w:ascii="Open Sans" w:hAnsi="Open Sans" w:cs="Open Sans"/>
          <w14:ligatures w14:val="standardContextual"/>
        </w:rPr>
        <w:t>. Do wskaźnika wlicza się każde miejsce pracy, które zostało utworzone w ramach projektu, bez względu na wymiar etatu.</w:t>
      </w:r>
    </w:p>
    <w:p w14:paraId="498EA20C" w14:textId="77777777" w:rsidR="00544936" w:rsidRPr="00FD6029" w:rsidRDefault="00544936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515B1EF1" w14:textId="432BAFF2" w:rsidR="00D40987" w:rsidRPr="00FD6029" w:rsidRDefault="00667EBC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4. Proces wyboru projektów</w:t>
      </w:r>
    </w:p>
    <w:p w14:paraId="752B6520" w14:textId="3C00A08F" w:rsidR="00667EBC" w:rsidRPr="00FD6029" w:rsidRDefault="00667EBC" w:rsidP="00A0323B">
      <w:pPr>
        <w:pStyle w:val="Nagwek2"/>
        <w:numPr>
          <w:ilvl w:val="1"/>
          <w:numId w:val="21"/>
        </w:numPr>
        <w:suppressAutoHyphens/>
        <w:autoSpaceDN w:val="0"/>
        <w:spacing w:before="200" w:after="200"/>
        <w:textAlignment w:val="baseline"/>
        <w:rPr>
          <w:rFonts w:ascii="Open Sans" w:eastAsia="Times New Roman" w:hAnsi="Open Sans" w:cs="Open Sans"/>
          <w:b/>
          <w:bCs/>
          <w:color w:val="000000" w:themeColor="text1"/>
          <w:kern w:val="3"/>
          <w:sz w:val="22"/>
          <w:szCs w:val="22"/>
        </w:rPr>
      </w:pPr>
      <w:bookmarkStart w:id="54" w:name="_Toc134788931"/>
      <w:bookmarkStart w:id="55" w:name="_Toc134791376"/>
      <w:bookmarkStart w:id="56" w:name="_Toc135639023"/>
      <w:bookmarkStart w:id="57" w:name="_Toc135639164"/>
      <w:bookmarkStart w:id="58" w:name="_Toc135646039"/>
      <w:bookmarkStart w:id="59" w:name="_Toc135646478"/>
      <w:bookmarkStart w:id="60" w:name="_Toc135729927"/>
      <w:bookmarkStart w:id="61" w:name="_Toc135730657"/>
      <w:bookmarkStart w:id="62" w:name="_Toc135739821"/>
      <w:bookmarkStart w:id="63" w:name="_Toc135740186"/>
      <w:bookmarkStart w:id="64" w:name="_Toc135741388"/>
      <w:bookmarkStart w:id="65" w:name="_Toc135741430"/>
      <w:bookmarkStart w:id="66" w:name="_Toc135741906"/>
      <w:bookmarkStart w:id="67" w:name="_Toc135743584"/>
      <w:bookmarkStart w:id="68" w:name="_Toc135744670"/>
      <w:bookmarkStart w:id="69" w:name="_Toc135744720"/>
      <w:bookmarkStart w:id="70" w:name="_Toc135744770"/>
      <w:bookmarkStart w:id="71" w:name="_Toc135806875"/>
      <w:bookmarkStart w:id="72" w:name="_Toc135806917"/>
      <w:bookmarkStart w:id="73" w:name="_Toc135807798"/>
      <w:bookmarkStart w:id="74" w:name="_Toc135808277"/>
      <w:bookmarkStart w:id="75" w:name="_Toc135808464"/>
      <w:bookmarkStart w:id="76" w:name="_Toc135808666"/>
      <w:bookmarkStart w:id="77" w:name="_Toc150246590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  <w:sz w:val="22"/>
          <w:szCs w:val="22"/>
        </w:rPr>
        <w:t>O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FD6029">
        <w:rPr>
          <w:rFonts w:ascii="Open Sans" w:eastAsia="Times New Roman" w:hAnsi="Open Sans" w:cs="Open Sans"/>
          <w:b/>
          <w:bCs/>
          <w:color w:val="000000"/>
          <w:kern w:val="3"/>
          <w:sz w:val="22"/>
          <w:szCs w:val="22"/>
        </w:rPr>
        <w:t>pis procedury oceny projektów</w:t>
      </w:r>
      <w:bookmarkEnd w:id="77"/>
      <w:r w:rsidRPr="00FD6029">
        <w:rPr>
          <w:rFonts w:ascii="Open Sans" w:eastAsia="Times New Roman" w:hAnsi="Open Sans" w:cs="Open Sans"/>
          <w:b/>
          <w:bCs/>
          <w:color w:val="000000"/>
          <w:kern w:val="3"/>
          <w:sz w:val="22"/>
          <w:szCs w:val="22"/>
        </w:rPr>
        <w:t xml:space="preserve"> </w:t>
      </w:r>
    </w:p>
    <w:p w14:paraId="6AF00D13" w14:textId="00F2DBE2" w:rsidR="00667EBC" w:rsidRPr="00FD6029" w:rsidRDefault="00667EBC" w:rsidP="00667EBC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Było:</w:t>
      </w:r>
    </w:p>
    <w:p w14:paraId="523C6B25" w14:textId="3776FDB6" w:rsidR="00667EBC" w:rsidRPr="00667EBC" w:rsidRDefault="00667EBC" w:rsidP="00667EBC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kern w:val="3"/>
        </w:rPr>
        <w:t>Ocena projektów współfinansowanych ze środków EFS w przypadku naboru konkurencyjnego składa się z następujących etapów:</w:t>
      </w:r>
    </w:p>
    <w:p w14:paraId="72E75C68" w14:textId="048067E4" w:rsidR="00667EBC" w:rsidRPr="00667EBC" w:rsidRDefault="00667EBC" w:rsidP="00A0323B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b/>
          <w:bCs/>
          <w:kern w:val="3"/>
        </w:rPr>
        <w:t>Etapu oceny formalnej</w:t>
      </w:r>
      <w:r w:rsidRPr="00667EBC">
        <w:rPr>
          <w:rFonts w:ascii="Open Sans" w:eastAsia="Calibri" w:hAnsi="Open Sans" w:cs="Open Sans"/>
          <w:kern w:val="3"/>
        </w:rPr>
        <w:t xml:space="preserve"> </w:t>
      </w:r>
      <w:r w:rsidRPr="00667EBC">
        <w:rPr>
          <w:rFonts w:ascii="Open Sans" w:eastAsia="Calibri" w:hAnsi="Open Sans" w:cs="Open Sans"/>
          <w:color w:val="000000"/>
          <w:kern w:val="3"/>
        </w:rPr>
        <w:t xml:space="preserve">podczas którego KOP dokona oceny spełnienia przez projekt </w:t>
      </w:r>
      <w:r w:rsidRPr="00667EBC">
        <w:rPr>
          <w:rFonts w:ascii="Open Sans" w:eastAsia="Calibri" w:hAnsi="Open Sans" w:cs="Open Sans"/>
          <w:bCs/>
          <w:color w:val="000000"/>
          <w:kern w:val="3"/>
        </w:rPr>
        <w:t>kryteriów formalnych, horyzontalnych i szczególnych,</w:t>
      </w:r>
      <w:r w:rsidRPr="00667EBC">
        <w:rPr>
          <w:rFonts w:ascii="Open Sans" w:eastAsia="Calibri" w:hAnsi="Open Sans" w:cs="Open Sans"/>
          <w:b/>
          <w:color w:val="000000"/>
          <w:kern w:val="3"/>
        </w:rPr>
        <w:t xml:space="preserve"> </w:t>
      </w:r>
      <w:r w:rsidRPr="00667EBC">
        <w:rPr>
          <w:rFonts w:ascii="Open Sans" w:eastAsia="Calibri" w:hAnsi="Open Sans" w:cs="Open Sans"/>
          <w:color w:val="000000"/>
          <w:kern w:val="3"/>
        </w:rPr>
        <w:t>zgodnie z zasadami określonymi w Regulaminie. Kryteria te dzielą się na:</w:t>
      </w:r>
    </w:p>
    <w:p w14:paraId="30D0E630" w14:textId="77777777" w:rsidR="00667EBC" w:rsidRPr="00667EBC" w:rsidRDefault="00667EBC" w:rsidP="00A0323B">
      <w:pPr>
        <w:numPr>
          <w:ilvl w:val="1"/>
          <w:numId w:val="3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kern w:val="3"/>
        </w:rPr>
        <w:t>kryteria bez możliwości poprawy</w:t>
      </w:r>
      <w:r w:rsidRPr="00667EBC" w:rsidDel="004266E8">
        <w:rPr>
          <w:rFonts w:ascii="Open Sans" w:eastAsia="Calibri" w:hAnsi="Open Sans" w:cs="Open Sans"/>
          <w:kern w:val="3"/>
        </w:rPr>
        <w:t xml:space="preserve"> </w:t>
      </w:r>
      <w:r w:rsidRPr="00667EBC">
        <w:rPr>
          <w:rFonts w:ascii="Open Sans" w:eastAsia="Calibri" w:hAnsi="Open Sans" w:cs="Open Sans"/>
          <w:kern w:val="3"/>
        </w:rPr>
        <w:t>– kryteria zero-jedynkowe, których ocena polega na przypisaniu wartości logicznych „tak”, „nie” lub „nie dotyczy”. Jeśli projekt nie będzie spełniał tych kryteriów, zostanie odrzucony;</w:t>
      </w:r>
    </w:p>
    <w:p w14:paraId="591B8233" w14:textId="77777777" w:rsidR="00667EBC" w:rsidRPr="00667EBC" w:rsidRDefault="00667EBC" w:rsidP="00A0323B">
      <w:pPr>
        <w:numPr>
          <w:ilvl w:val="1"/>
          <w:numId w:val="3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kern w:val="3"/>
        </w:rPr>
        <w:t xml:space="preserve">kryteria z możliwością poprawy w zakresie skutkującym spełnieniem </w:t>
      </w:r>
      <w:r w:rsidRPr="00667EBC">
        <w:rPr>
          <w:rFonts w:ascii="Open Sans" w:eastAsia="Calibri" w:hAnsi="Open Sans" w:cs="Open Sans"/>
          <w:spacing w:val="-2"/>
          <w:kern w:val="3"/>
        </w:rPr>
        <w:t xml:space="preserve">kryteriów – których ocena polega na przypisaniu wartości logicznych „tak”, „nie” lub </w:t>
      </w:r>
      <w:r w:rsidRPr="00667EBC">
        <w:rPr>
          <w:rFonts w:ascii="Open Sans" w:eastAsia="Calibri" w:hAnsi="Open Sans" w:cs="Open Sans"/>
          <w:kern w:val="3"/>
        </w:rPr>
        <w:t>„</w:t>
      </w:r>
      <w:r w:rsidRPr="00667EBC">
        <w:rPr>
          <w:rFonts w:ascii="Open Sans" w:eastAsia="Calibri" w:hAnsi="Open Sans" w:cs="Open Sans"/>
          <w:spacing w:val="-4"/>
          <w:kern w:val="3"/>
        </w:rPr>
        <w:t xml:space="preserve">nie dotyczy” albo skierowaniu wniosku do poprawy. Jeśli </w:t>
      </w:r>
      <w:r w:rsidRPr="00667EBC">
        <w:rPr>
          <w:rFonts w:ascii="Open Sans" w:eastAsia="Calibri" w:hAnsi="Open Sans" w:cs="Open Sans"/>
          <w:kern w:val="3"/>
        </w:rPr>
        <w:t>projekt po poprawie nie będzie spełniał tych kryteriów zostanie odrzucony.</w:t>
      </w:r>
    </w:p>
    <w:p w14:paraId="0F5EB24D" w14:textId="77777777" w:rsidR="00667EBC" w:rsidRPr="00667EBC" w:rsidRDefault="00667EBC" w:rsidP="00A0323B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b/>
          <w:bCs/>
          <w:kern w:val="3"/>
        </w:rPr>
        <w:t>Etapu oceny merytorycznej</w:t>
      </w:r>
      <w:r w:rsidRPr="00667EBC">
        <w:rPr>
          <w:rFonts w:ascii="Open Sans" w:eastAsia="Calibri" w:hAnsi="Open Sans" w:cs="Open Sans"/>
          <w:kern w:val="3"/>
        </w:rPr>
        <w:t xml:space="preserve"> </w:t>
      </w:r>
      <w:r w:rsidRPr="00667EBC">
        <w:rPr>
          <w:rFonts w:ascii="Open Sans" w:eastAsia="Calibri" w:hAnsi="Open Sans" w:cs="Open Sans"/>
          <w:bCs/>
          <w:color w:val="000000"/>
          <w:kern w:val="3"/>
        </w:rPr>
        <w:t>podczas którego KOP dokona</w:t>
      </w:r>
      <w:r w:rsidRPr="00667EBC">
        <w:rPr>
          <w:rFonts w:ascii="Open Sans" w:eastAsia="Calibri" w:hAnsi="Open Sans" w:cs="Open Sans"/>
          <w:color w:val="000000"/>
          <w:kern w:val="3"/>
        </w:rPr>
        <w:t xml:space="preserve"> oceny spełnienia przez projekt kryteriów o charakterze merytorycznym i premiującym,</w:t>
      </w:r>
      <w:r w:rsidRPr="00667EBC">
        <w:rPr>
          <w:rFonts w:ascii="Open Sans" w:eastAsia="Calibri" w:hAnsi="Open Sans" w:cs="Open Sans"/>
          <w:b/>
          <w:color w:val="000000"/>
          <w:kern w:val="3"/>
        </w:rPr>
        <w:t xml:space="preserve"> </w:t>
      </w:r>
      <w:r w:rsidRPr="00667EBC">
        <w:rPr>
          <w:rFonts w:ascii="Open Sans" w:eastAsia="Calibri" w:hAnsi="Open Sans" w:cs="Open Sans"/>
          <w:color w:val="000000"/>
          <w:kern w:val="3"/>
        </w:rPr>
        <w:t>zgodnie z zasadami określonymi w Regulaminie KOP.</w:t>
      </w:r>
      <w:r w:rsidRPr="00667EBC">
        <w:rPr>
          <w:rFonts w:ascii="Open Sans" w:eastAsia="Calibri" w:hAnsi="Open Sans" w:cs="Open Sans"/>
          <w:kern w:val="3"/>
        </w:rPr>
        <w:t xml:space="preserve"> </w:t>
      </w:r>
    </w:p>
    <w:p w14:paraId="5B7DEFF5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368199D0" w14:textId="6DBBDF99" w:rsidR="00544936" w:rsidRPr="00FD6029" w:rsidRDefault="00667EBC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lastRenderedPageBreak/>
        <w:t>Jest:</w:t>
      </w:r>
    </w:p>
    <w:p w14:paraId="4CDB1DC0" w14:textId="77777777" w:rsidR="00667EBC" w:rsidRPr="00667EBC" w:rsidRDefault="00667EBC" w:rsidP="00667EBC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kern w:val="3"/>
        </w:rPr>
        <w:t>Ocena projektów współfinansowanych ze środków EFS w przypadku naboru konkurencyjnego składa się z następujących etapów:</w:t>
      </w:r>
    </w:p>
    <w:p w14:paraId="0D112FEF" w14:textId="77777777" w:rsidR="00667EBC" w:rsidRPr="00667EBC" w:rsidRDefault="00667EBC" w:rsidP="00C73D58">
      <w:pPr>
        <w:numPr>
          <w:ilvl w:val="0"/>
          <w:numId w:val="22"/>
        </w:numPr>
        <w:tabs>
          <w:tab w:val="left" w:pos="0"/>
        </w:tabs>
        <w:suppressAutoHyphens/>
        <w:autoSpaceDN w:val="0"/>
        <w:spacing w:before="120" w:after="120" w:line="240" w:lineRule="auto"/>
        <w:ind w:left="284" w:hanging="283"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b/>
          <w:bCs/>
          <w:kern w:val="3"/>
        </w:rPr>
        <w:t>Etapu oceny formalnej</w:t>
      </w:r>
      <w:r w:rsidRPr="00667EBC">
        <w:rPr>
          <w:rFonts w:ascii="Open Sans" w:eastAsia="Calibri" w:hAnsi="Open Sans" w:cs="Open Sans"/>
          <w:kern w:val="3"/>
        </w:rPr>
        <w:t xml:space="preserve"> </w:t>
      </w:r>
      <w:r w:rsidRPr="00667EBC">
        <w:rPr>
          <w:rFonts w:ascii="Open Sans" w:eastAsia="Calibri" w:hAnsi="Open Sans" w:cs="Open Sans"/>
          <w:color w:val="000000"/>
          <w:kern w:val="3"/>
        </w:rPr>
        <w:t xml:space="preserve">podczas którego KOP dokona oceny spełnienia przez projekt </w:t>
      </w:r>
      <w:r w:rsidRPr="00667EBC">
        <w:rPr>
          <w:rFonts w:ascii="Open Sans" w:eastAsia="Calibri" w:hAnsi="Open Sans" w:cs="Open Sans"/>
          <w:bCs/>
          <w:color w:val="000000"/>
          <w:kern w:val="3"/>
        </w:rPr>
        <w:t>kryteriów formalnych i szczególnych,</w:t>
      </w:r>
      <w:r w:rsidRPr="00667EBC">
        <w:rPr>
          <w:rFonts w:ascii="Open Sans" w:eastAsia="Calibri" w:hAnsi="Open Sans" w:cs="Open Sans"/>
          <w:b/>
          <w:color w:val="000000"/>
          <w:kern w:val="3"/>
        </w:rPr>
        <w:t xml:space="preserve"> </w:t>
      </w:r>
      <w:r w:rsidRPr="00667EBC">
        <w:rPr>
          <w:rFonts w:ascii="Open Sans" w:eastAsia="Calibri" w:hAnsi="Open Sans" w:cs="Open Sans"/>
          <w:color w:val="000000"/>
          <w:kern w:val="3"/>
        </w:rPr>
        <w:t>zgodnie z zasadami określonymi w Regulaminie. Kryteria te dzielą się na:</w:t>
      </w:r>
    </w:p>
    <w:p w14:paraId="6768ADDA" w14:textId="77777777" w:rsidR="00667EBC" w:rsidRPr="00667EBC" w:rsidRDefault="00667EBC" w:rsidP="00A0323B">
      <w:pPr>
        <w:numPr>
          <w:ilvl w:val="1"/>
          <w:numId w:val="3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kern w:val="3"/>
        </w:rPr>
        <w:t>kryteria bez możliwości poprawy</w:t>
      </w:r>
      <w:r w:rsidRPr="00667EBC" w:rsidDel="004266E8">
        <w:rPr>
          <w:rFonts w:ascii="Open Sans" w:eastAsia="Calibri" w:hAnsi="Open Sans" w:cs="Open Sans"/>
          <w:kern w:val="3"/>
        </w:rPr>
        <w:t xml:space="preserve"> </w:t>
      </w:r>
      <w:r w:rsidRPr="00667EBC">
        <w:rPr>
          <w:rFonts w:ascii="Open Sans" w:eastAsia="Calibri" w:hAnsi="Open Sans" w:cs="Open Sans"/>
          <w:kern w:val="3"/>
        </w:rPr>
        <w:t>– kryteria zero-jedynkowe, których ocena polega na przypisaniu wartości logicznych „tak”, „nie” lub „nie dotyczy”. Jeśli projekt nie będzie spełniał tych kryteriów, zostanie odrzucony;</w:t>
      </w:r>
    </w:p>
    <w:p w14:paraId="35E26FB8" w14:textId="77777777" w:rsidR="00667EBC" w:rsidRPr="00667EBC" w:rsidRDefault="00667EBC" w:rsidP="00A0323B">
      <w:pPr>
        <w:numPr>
          <w:ilvl w:val="1"/>
          <w:numId w:val="3"/>
        </w:numPr>
        <w:suppressAutoHyphens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kern w:val="3"/>
        </w:rPr>
        <w:t xml:space="preserve">kryteria z możliwością poprawy w zakresie skutkującym spełnieniem </w:t>
      </w:r>
      <w:r w:rsidRPr="00667EBC">
        <w:rPr>
          <w:rFonts w:ascii="Open Sans" w:eastAsia="Calibri" w:hAnsi="Open Sans" w:cs="Open Sans"/>
          <w:spacing w:val="-2"/>
          <w:kern w:val="3"/>
        </w:rPr>
        <w:t xml:space="preserve">kryteriów – których ocena polega na przypisaniu wartości logicznych „tak”, „nie” lub </w:t>
      </w:r>
      <w:r w:rsidRPr="00667EBC">
        <w:rPr>
          <w:rFonts w:ascii="Open Sans" w:eastAsia="Calibri" w:hAnsi="Open Sans" w:cs="Open Sans"/>
          <w:kern w:val="3"/>
        </w:rPr>
        <w:t>„</w:t>
      </w:r>
      <w:r w:rsidRPr="00667EBC">
        <w:rPr>
          <w:rFonts w:ascii="Open Sans" w:eastAsia="Calibri" w:hAnsi="Open Sans" w:cs="Open Sans"/>
          <w:spacing w:val="-4"/>
          <w:kern w:val="3"/>
        </w:rPr>
        <w:t xml:space="preserve">nie dotyczy” albo skierowaniu wniosku do poprawy. Jeśli </w:t>
      </w:r>
      <w:r w:rsidRPr="00667EBC">
        <w:rPr>
          <w:rFonts w:ascii="Open Sans" w:eastAsia="Calibri" w:hAnsi="Open Sans" w:cs="Open Sans"/>
          <w:kern w:val="3"/>
        </w:rPr>
        <w:t>projekt po poprawie nie będzie spełniał tych kryteriów zostanie odrzucony.</w:t>
      </w:r>
    </w:p>
    <w:p w14:paraId="4AE4B26C" w14:textId="77777777" w:rsidR="00667EBC" w:rsidRPr="00667EBC" w:rsidRDefault="00667EBC" w:rsidP="00A0323B">
      <w:pPr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textAlignment w:val="baseline"/>
        <w:rPr>
          <w:rFonts w:ascii="Open Sans" w:eastAsia="Calibri" w:hAnsi="Open Sans" w:cs="Open Sans"/>
          <w:kern w:val="3"/>
        </w:rPr>
      </w:pPr>
      <w:r w:rsidRPr="00667EBC">
        <w:rPr>
          <w:rFonts w:ascii="Open Sans" w:eastAsia="Calibri" w:hAnsi="Open Sans" w:cs="Open Sans"/>
          <w:b/>
          <w:bCs/>
          <w:kern w:val="3"/>
        </w:rPr>
        <w:t>Etapu oceny merytorycznej</w:t>
      </w:r>
      <w:r w:rsidRPr="00667EBC">
        <w:rPr>
          <w:rFonts w:ascii="Open Sans" w:eastAsia="Calibri" w:hAnsi="Open Sans" w:cs="Open Sans"/>
          <w:kern w:val="3"/>
        </w:rPr>
        <w:t xml:space="preserve"> </w:t>
      </w:r>
      <w:r w:rsidRPr="00667EBC">
        <w:rPr>
          <w:rFonts w:ascii="Open Sans" w:eastAsia="Calibri" w:hAnsi="Open Sans" w:cs="Open Sans"/>
          <w:bCs/>
          <w:color w:val="000000"/>
          <w:kern w:val="3"/>
        </w:rPr>
        <w:t>podczas którego KOP dokona</w:t>
      </w:r>
      <w:r w:rsidRPr="00667EBC">
        <w:rPr>
          <w:rFonts w:ascii="Open Sans" w:eastAsia="Calibri" w:hAnsi="Open Sans" w:cs="Open Sans"/>
          <w:color w:val="000000"/>
          <w:kern w:val="3"/>
        </w:rPr>
        <w:t xml:space="preserve"> oceny spełnienia przez projekt kryteriów o charakterze horyzontalnym, merytorycznym i premiującym,</w:t>
      </w:r>
      <w:r w:rsidRPr="00667EBC">
        <w:rPr>
          <w:rFonts w:ascii="Open Sans" w:eastAsia="Calibri" w:hAnsi="Open Sans" w:cs="Open Sans"/>
          <w:b/>
          <w:color w:val="000000"/>
          <w:kern w:val="3"/>
        </w:rPr>
        <w:t xml:space="preserve"> </w:t>
      </w:r>
      <w:r w:rsidRPr="00667EBC">
        <w:rPr>
          <w:rFonts w:ascii="Open Sans" w:eastAsia="Calibri" w:hAnsi="Open Sans" w:cs="Open Sans"/>
          <w:color w:val="000000"/>
          <w:kern w:val="3"/>
        </w:rPr>
        <w:t>zgodnie z zasadami określonymi w Regulaminie KOP.</w:t>
      </w:r>
      <w:r w:rsidRPr="00667EBC">
        <w:rPr>
          <w:rFonts w:ascii="Open Sans" w:eastAsia="Calibri" w:hAnsi="Open Sans" w:cs="Open Sans"/>
          <w:kern w:val="3"/>
        </w:rPr>
        <w:t xml:space="preserve"> </w:t>
      </w:r>
    </w:p>
    <w:p w14:paraId="64B9F439" w14:textId="77777777" w:rsidR="00667EBC" w:rsidRPr="00FD6029" w:rsidRDefault="00667EBC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5F0668D8" w14:textId="77777777" w:rsidR="00667EBC" w:rsidRPr="00FD6029" w:rsidRDefault="00667EBC" w:rsidP="00667EBC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410"/>
      </w:tblGrid>
      <w:tr w:rsidR="00667EBC" w:rsidRPr="00FD6029" w14:paraId="367155AB" w14:textId="77777777" w:rsidTr="00B9740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11BE2" w14:textId="77777777" w:rsidR="00667EBC" w:rsidRPr="00FD6029" w:rsidRDefault="00667EBC" w:rsidP="00736894">
            <w:pPr>
              <w:spacing w:before="120" w:after="120" w:line="240" w:lineRule="auto"/>
              <w:contextualSpacing/>
              <w:rPr>
                <w:rFonts w:ascii="Open Sans" w:eastAsiaTheme="minorEastAsia" w:hAnsi="Open Sans" w:cs="Open Sans"/>
                <w:b/>
              </w:rPr>
            </w:pPr>
            <w:r w:rsidRPr="00FD6029">
              <w:rPr>
                <w:rFonts w:ascii="Open Sans" w:eastAsiaTheme="minorEastAsia" w:hAnsi="Open Sans" w:cs="Open Sans"/>
                <w:b/>
              </w:rPr>
              <w:t>2. Prawidłowość doboru i opisu grupy docelowej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778C8" w14:textId="77777777" w:rsidR="00667EBC" w:rsidRPr="00FD6029" w:rsidRDefault="00667EBC" w:rsidP="00736894">
            <w:pPr>
              <w:spacing w:before="120" w:after="120" w:line="240" w:lineRule="auto"/>
              <w:contextualSpacing/>
              <w:jc w:val="center"/>
              <w:rPr>
                <w:rFonts w:ascii="Arial" w:eastAsiaTheme="minorEastAsia" w:hAnsi="Arial" w:cs="Arial"/>
              </w:rPr>
            </w:pPr>
            <w:r w:rsidRPr="00FD6029">
              <w:rPr>
                <w:rFonts w:ascii="Arial" w:eastAsiaTheme="minorEastAsia" w:hAnsi="Arial" w:cs="Arial"/>
                <w:b/>
                <w:bCs/>
              </w:rPr>
              <w:t>10/6</w:t>
            </w:r>
          </w:p>
        </w:tc>
      </w:tr>
      <w:tr w:rsidR="00667EBC" w:rsidRPr="00FD6029" w14:paraId="27656FB7" w14:textId="77777777" w:rsidTr="00B9740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03FC3" w14:textId="77777777" w:rsidR="00667EBC" w:rsidRPr="00FD6029" w:rsidRDefault="00667EBC" w:rsidP="00736894">
            <w:pPr>
              <w:numPr>
                <w:ilvl w:val="1"/>
                <w:numId w:val="4"/>
              </w:numPr>
              <w:spacing w:before="120" w:after="120" w:line="240" w:lineRule="auto"/>
              <w:contextualSpacing/>
              <w:jc w:val="both"/>
              <w:rPr>
                <w:rFonts w:ascii="Open Sans" w:eastAsiaTheme="minorEastAsia" w:hAnsi="Open Sans" w:cs="Open Sans"/>
                <w:bCs/>
              </w:rPr>
            </w:pPr>
            <w:r w:rsidRPr="00FD6029">
              <w:rPr>
                <w:rFonts w:ascii="Open Sans" w:eastAsiaTheme="minorEastAsia" w:hAnsi="Open Sans" w:cs="Open Sans"/>
                <w:bCs/>
              </w:rPr>
              <w:t>charakterystyka grupy docelowej, tj. instytucji i/lub osób objętych wsparciem (liczebność, cechy specyficzne, status uczestników, opis potrzeb)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AEFFB" w14:textId="77777777" w:rsidR="00667EBC" w:rsidRPr="00FD6029" w:rsidRDefault="00667EBC" w:rsidP="00736894">
            <w:pPr>
              <w:spacing w:before="120" w:after="120" w:line="240" w:lineRule="auto"/>
              <w:contextualSpacing/>
              <w:jc w:val="center"/>
              <w:rPr>
                <w:rFonts w:ascii="Arial" w:eastAsiaTheme="minorEastAsia" w:hAnsi="Arial" w:cs="Arial"/>
              </w:rPr>
            </w:pPr>
            <w:r w:rsidRPr="00FD6029">
              <w:rPr>
                <w:rFonts w:ascii="Arial" w:eastAsiaTheme="minorEastAsia" w:hAnsi="Arial" w:cs="Arial"/>
                <w:bCs/>
              </w:rPr>
              <w:t>6</w:t>
            </w:r>
          </w:p>
        </w:tc>
      </w:tr>
      <w:tr w:rsidR="00667EBC" w:rsidRPr="00FD6029" w14:paraId="5F6CC7A3" w14:textId="77777777" w:rsidTr="00B9740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B78F3" w14:textId="77777777" w:rsidR="00667EBC" w:rsidRPr="00FD6029" w:rsidRDefault="00667EBC" w:rsidP="00736894">
            <w:pPr>
              <w:numPr>
                <w:ilvl w:val="1"/>
                <w:numId w:val="4"/>
              </w:numPr>
              <w:spacing w:before="120" w:after="120" w:line="240" w:lineRule="auto"/>
              <w:contextualSpacing/>
              <w:jc w:val="both"/>
              <w:rPr>
                <w:rFonts w:ascii="Open Sans" w:eastAsiaTheme="minorEastAsia" w:hAnsi="Open Sans" w:cs="Open Sans"/>
              </w:rPr>
            </w:pPr>
            <w:r w:rsidRPr="00FD6029">
              <w:rPr>
                <w:rFonts w:ascii="Open Sans" w:eastAsiaTheme="minorEastAsia" w:hAnsi="Open Sans" w:cs="Open Sans"/>
                <w:bCs/>
              </w:rPr>
              <w:t>opis sposobu rekrutacji uczestników projektu w odniesieniu do wskazanych cech grupy docelowej, w tym kryteriów i narzędzi rekrutacji oraz kwestii zapewnienia dostępności dla osób z niepełnosprawnościami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BE855" w14:textId="77777777" w:rsidR="00667EBC" w:rsidRPr="00FD6029" w:rsidRDefault="00667EBC" w:rsidP="00736894">
            <w:pPr>
              <w:spacing w:before="120" w:after="120" w:line="240" w:lineRule="auto"/>
              <w:contextualSpacing/>
              <w:jc w:val="center"/>
              <w:rPr>
                <w:rFonts w:ascii="Arial" w:eastAsiaTheme="minorEastAsia" w:hAnsi="Arial" w:cs="Arial"/>
                <w:bCs/>
              </w:rPr>
            </w:pPr>
            <w:r w:rsidRPr="00FD6029">
              <w:rPr>
                <w:rFonts w:ascii="Arial" w:eastAsiaTheme="minorEastAsia" w:hAnsi="Arial" w:cs="Arial"/>
                <w:bCs/>
              </w:rPr>
              <w:t>4</w:t>
            </w:r>
          </w:p>
        </w:tc>
      </w:tr>
    </w:tbl>
    <w:p w14:paraId="6B33B258" w14:textId="77777777" w:rsidR="00667EBC" w:rsidRPr="00FD6029" w:rsidRDefault="00667EBC" w:rsidP="00667EBC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Open Sans" w:eastAsia="Calibri" w:hAnsi="Open Sans" w:cs="Open Sans"/>
          <w:kern w:val="3"/>
        </w:rPr>
      </w:pPr>
    </w:p>
    <w:p w14:paraId="394DDD05" w14:textId="77777777" w:rsidR="00667EBC" w:rsidRDefault="00667EBC" w:rsidP="00667EBC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 xml:space="preserve">Jest: </w:t>
      </w:r>
    </w:p>
    <w:p w14:paraId="1F12B7D4" w14:textId="77777777" w:rsidR="000D715F" w:rsidRPr="00FD6029" w:rsidRDefault="000D715F" w:rsidP="00667EBC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Open Sans" w:hAnsi="Open Sans" w:cs="Open Sans"/>
          <w:b/>
          <w:bCs/>
          <w:kern w:val="2"/>
          <w14:ligatures w14:val="standardContextual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410"/>
      </w:tblGrid>
      <w:tr w:rsidR="00667EBC" w:rsidRPr="00FD6029" w14:paraId="1503300F" w14:textId="77777777" w:rsidTr="00B9740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4D6D0" w14:textId="77777777" w:rsidR="00667EBC" w:rsidRPr="00FD6029" w:rsidRDefault="00667EBC" w:rsidP="00736894">
            <w:pPr>
              <w:spacing w:before="120" w:after="120" w:line="240" w:lineRule="auto"/>
              <w:contextualSpacing/>
              <w:rPr>
                <w:rFonts w:ascii="Open Sans" w:eastAsiaTheme="minorEastAsia" w:hAnsi="Open Sans" w:cs="Open Sans"/>
                <w:b/>
              </w:rPr>
            </w:pPr>
            <w:r w:rsidRPr="00FD6029">
              <w:rPr>
                <w:rFonts w:ascii="Open Sans" w:eastAsiaTheme="minorEastAsia" w:hAnsi="Open Sans" w:cs="Open Sans"/>
                <w:b/>
              </w:rPr>
              <w:t>2. Prawidłowość doboru i opisu grupy docelowej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1ED23" w14:textId="77777777" w:rsidR="00667EBC" w:rsidRPr="00FD6029" w:rsidRDefault="00667EBC" w:rsidP="00736894">
            <w:pPr>
              <w:spacing w:before="120" w:after="120" w:line="240" w:lineRule="auto"/>
              <w:contextualSpacing/>
              <w:jc w:val="center"/>
              <w:rPr>
                <w:rFonts w:ascii="Open Sans" w:eastAsiaTheme="minorEastAsia" w:hAnsi="Open Sans" w:cs="Open Sans"/>
              </w:rPr>
            </w:pPr>
            <w:r w:rsidRPr="00FD6029">
              <w:rPr>
                <w:rFonts w:ascii="Open Sans" w:eastAsiaTheme="minorEastAsia" w:hAnsi="Open Sans" w:cs="Open Sans"/>
                <w:b/>
                <w:bCs/>
              </w:rPr>
              <w:t>10/6</w:t>
            </w:r>
          </w:p>
        </w:tc>
      </w:tr>
      <w:tr w:rsidR="00667EBC" w:rsidRPr="00FD6029" w14:paraId="7C07DF51" w14:textId="77777777" w:rsidTr="00B9740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768D8" w14:textId="77777777" w:rsidR="00667EBC" w:rsidRPr="00FD6029" w:rsidRDefault="00667EBC" w:rsidP="00736894">
            <w:pPr>
              <w:numPr>
                <w:ilvl w:val="1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Open Sans" w:eastAsiaTheme="minorEastAsia" w:hAnsi="Open Sans" w:cs="Open Sans"/>
                <w:bCs/>
              </w:rPr>
            </w:pPr>
            <w:r w:rsidRPr="00FD6029">
              <w:rPr>
                <w:rFonts w:ascii="Open Sans" w:eastAsiaTheme="minorEastAsia" w:hAnsi="Open Sans" w:cs="Open Sans"/>
                <w:bCs/>
              </w:rPr>
              <w:t>charakterystyka grupy docelowej, tj. instytucji i/lub osób objętych wsparciem (liczebność, cechy specyficzne, status uczestników, opis potrzeb)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E058D" w14:textId="77777777" w:rsidR="00667EBC" w:rsidRPr="00FD6029" w:rsidRDefault="00667EBC" w:rsidP="00736894">
            <w:pPr>
              <w:spacing w:before="120" w:after="120" w:line="240" w:lineRule="auto"/>
              <w:contextualSpacing/>
              <w:jc w:val="center"/>
              <w:rPr>
                <w:rFonts w:ascii="Open Sans" w:eastAsiaTheme="minorEastAsia" w:hAnsi="Open Sans" w:cs="Open Sans"/>
              </w:rPr>
            </w:pPr>
            <w:r w:rsidRPr="00FD6029">
              <w:rPr>
                <w:rFonts w:ascii="Open Sans" w:eastAsiaTheme="minorEastAsia" w:hAnsi="Open Sans" w:cs="Open Sans"/>
                <w:bCs/>
              </w:rPr>
              <w:t>6</w:t>
            </w:r>
          </w:p>
        </w:tc>
      </w:tr>
      <w:tr w:rsidR="00667EBC" w:rsidRPr="00FD6029" w14:paraId="1A901BE6" w14:textId="77777777" w:rsidTr="00B9740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F123F" w14:textId="77777777" w:rsidR="00667EBC" w:rsidRPr="00FD6029" w:rsidRDefault="00667EBC" w:rsidP="00736894">
            <w:pPr>
              <w:numPr>
                <w:ilvl w:val="1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Open Sans" w:eastAsiaTheme="minorEastAsia" w:hAnsi="Open Sans" w:cs="Open Sans"/>
              </w:rPr>
            </w:pPr>
            <w:r w:rsidRPr="00FD6029">
              <w:rPr>
                <w:rFonts w:ascii="Open Sans" w:eastAsiaTheme="minorEastAsia" w:hAnsi="Open Sans" w:cs="Open Sans"/>
                <w:bCs/>
              </w:rPr>
              <w:t xml:space="preserve">opis sposobu rekrutacji uczestników projektu w odniesieniu do wskazanych cech grupy docelowej, w tym kryteriów i narzędzi rekrutacji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BE36A" w14:textId="77777777" w:rsidR="00667EBC" w:rsidRPr="00FD6029" w:rsidRDefault="00667EBC" w:rsidP="00736894">
            <w:pPr>
              <w:spacing w:before="120" w:after="120" w:line="240" w:lineRule="auto"/>
              <w:contextualSpacing/>
              <w:jc w:val="center"/>
              <w:rPr>
                <w:rFonts w:ascii="Open Sans" w:eastAsiaTheme="minorEastAsia" w:hAnsi="Open Sans" w:cs="Open Sans"/>
                <w:bCs/>
              </w:rPr>
            </w:pPr>
            <w:r w:rsidRPr="00FD6029">
              <w:rPr>
                <w:rFonts w:ascii="Open Sans" w:eastAsiaTheme="minorEastAsia" w:hAnsi="Open Sans" w:cs="Open Sans"/>
                <w:bCs/>
              </w:rPr>
              <w:t>4</w:t>
            </w:r>
          </w:p>
        </w:tc>
      </w:tr>
    </w:tbl>
    <w:p w14:paraId="2299DE16" w14:textId="77777777" w:rsidR="00544936" w:rsidRPr="00FD6029" w:rsidRDefault="00544936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</w:p>
    <w:p w14:paraId="3DB9129B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58C1C959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362D1661" w14:textId="000B9E3A" w:rsidR="00544936" w:rsidRPr="00FD6029" w:rsidRDefault="001B7A0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lastRenderedPageBreak/>
        <w:t>Słownik pojęć</w:t>
      </w:r>
    </w:p>
    <w:p w14:paraId="46AFADFF" w14:textId="569A1D78" w:rsidR="001B7A00" w:rsidRPr="00FD6029" w:rsidRDefault="001B7A0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73B46A58" w14:textId="77777777" w:rsidR="001B7A00" w:rsidRPr="001B7A00" w:rsidRDefault="001B7A00" w:rsidP="001B7A00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1B7A00">
        <w:rPr>
          <w:rFonts w:ascii="Open Sans" w:eastAsia="Calibri" w:hAnsi="Open Sans" w:cs="Open Sans"/>
          <w:b/>
          <w:bCs/>
          <w:kern w:val="3"/>
        </w:rPr>
        <w:t>Baza Usług Rozwojowych (BUR</w:t>
      </w:r>
      <w:r w:rsidRPr="001B7A00">
        <w:rPr>
          <w:rFonts w:ascii="Open Sans" w:eastAsia="Calibri" w:hAnsi="Open Sans" w:cs="Open Sans"/>
          <w:kern w:val="3"/>
        </w:rPr>
        <w:t>) – 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 U. z 2022 r. poz. 2080, z późn. zm.) rejestru podmiotów (Dostawców Usług) zapewniających należyte świadczenie usług rozwojowych, współfinansowanych ze środków publicznych. Szczegółowe zasady funkcjonowania BUR określa rozporządzenie Ministra Rozwoju i Finansów z dnia 29 sierpnia 2017 r. w sprawie rejestru podmiotów świadczących usługi rozwojowe (Dz. U. z 2017 r. poz. 1678);</w:t>
      </w:r>
    </w:p>
    <w:p w14:paraId="3E1A5350" w14:textId="53313ABB" w:rsidR="00544936" w:rsidRPr="00FD6029" w:rsidRDefault="001B7A0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5EBDE871" w14:textId="77777777" w:rsidR="001B7A00" w:rsidRPr="001B7A00" w:rsidRDefault="001B7A00" w:rsidP="001B7A00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1B7A00">
        <w:rPr>
          <w:rFonts w:ascii="Open Sans" w:eastAsia="Calibri" w:hAnsi="Open Sans" w:cs="Open Sans"/>
          <w:b/>
          <w:bCs/>
          <w:kern w:val="3"/>
        </w:rPr>
        <w:t>Baza Usług Rozwojowych (BUR</w:t>
      </w:r>
      <w:r w:rsidRPr="001B7A00">
        <w:rPr>
          <w:rFonts w:ascii="Open Sans" w:eastAsia="Calibri" w:hAnsi="Open Sans" w:cs="Open Sans"/>
          <w:kern w:val="3"/>
        </w:rPr>
        <w:t>) – 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 U. z 2023 r. poz. 462, z późn. zm.), rejestru podmiotów (Dostawców Usług) zapewniających należyte świadczenie usług rozwojowych, współfinansowanych ze środków publicznych. Szczegółowe zasady funkcjonowania BUR określa rozporządzenie Ministra Funduszy i Polityki Regionalnej z dnia 28 lipca 2023 r. w sprawie rejestru podmiotów świadczących usługi rozwojowe (Dz. U. poz.1686);</w:t>
      </w:r>
    </w:p>
    <w:p w14:paraId="7A2B83E0" w14:textId="77777777" w:rsidR="001B7A00" w:rsidRPr="00FD6029" w:rsidRDefault="001B7A0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6015714E" w14:textId="3AFC7835" w:rsidR="00065ABE" w:rsidRPr="00FD6029" w:rsidRDefault="00065ABE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Było:</w:t>
      </w:r>
    </w:p>
    <w:p w14:paraId="68152558" w14:textId="77777777" w:rsidR="00065ABE" w:rsidRPr="00065ABE" w:rsidRDefault="00065ABE" w:rsidP="00065ABE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065ABE">
        <w:rPr>
          <w:rFonts w:ascii="Open Sans" w:eastAsia="Calibri" w:hAnsi="Open Sans" w:cs="Open Sans"/>
          <w:b/>
          <w:bCs/>
          <w:kern w:val="3"/>
        </w:rPr>
        <w:t>Krajowy Plan Odbudowy i Zwiększania Odporności (KPO)</w:t>
      </w:r>
      <w:r w:rsidRPr="00065ABE">
        <w:rPr>
          <w:rFonts w:ascii="Open Sans" w:eastAsia="Calibri" w:hAnsi="Open Sans" w:cs="Open Sans"/>
          <w:kern w:val="3"/>
        </w:rPr>
        <w:t xml:space="preserve"> – plan rozwojowy, o którym mowa w art. 5 pkt 7aa ustawy z dnia 6 grudnia 2006 r. o zasadach prowadzenia polityki rozwoju (Dz. U. z 2023 r. poz. 225, z późn. zm.);</w:t>
      </w:r>
    </w:p>
    <w:p w14:paraId="444D647F" w14:textId="3BD5A4CD" w:rsidR="00065ABE" w:rsidRPr="00FD6029" w:rsidRDefault="00065ABE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67873D58" w14:textId="77777777" w:rsidR="00065ABE" w:rsidRPr="00065ABE" w:rsidRDefault="00065ABE" w:rsidP="00065ABE">
      <w:pPr>
        <w:suppressAutoHyphens/>
        <w:autoSpaceDN w:val="0"/>
        <w:spacing w:before="120" w:after="120"/>
        <w:textAlignment w:val="baseline"/>
        <w:rPr>
          <w:rFonts w:ascii="Open Sans" w:eastAsia="Calibri" w:hAnsi="Open Sans" w:cs="Open Sans"/>
          <w:kern w:val="3"/>
        </w:rPr>
      </w:pPr>
      <w:r w:rsidRPr="00065ABE">
        <w:rPr>
          <w:rFonts w:ascii="Open Sans" w:eastAsia="Calibri" w:hAnsi="Open Sans" w:cs="Open Sans"/>
          <w:b/>
          <w:bCs/>
          <w:kern w:val="3"/>
        </w:rPr>
        <w:t>Krajowy Plan Odbudowy i Zwiększania Odporności (KPO)</w:t>
      </w:r>
      <w:r w:rsidRPr="00065ABE">
        <w:rPr>
          <w:rFonts w:ascii="Open Sans" w:eastAsia="Calibri" w:hAnsi="Open Sans" w:cs="Open Sans"/>
          <w:kern w:val="3"/>
        </w:rPr>
        <w:t xml:space="preserve"> – plan rozwojowy, o którym mowa w art. 5 pkt 7aa ustawy z dnia 6 grudnia 2006 r. o zasadach prowadzenia polityki rozwoju (Dz. U. z 2023 r. poz. 1259, z późn. zm.);</w:t>
      </w:r>
    </w:p>
    <w:p w14:paraId="1C6F85D2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6D58115D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7DE08D6B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11B06361" w14:textId="77777777" w:rsidR="00736894" w:rsidRDefault="00736894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006813E3" w14:textId="2A9E3051" w:rsidR="00065ABE" w:rsidRPr="00FD6029" w:rsidRDefault="00887F8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lastRenderedPageBreak/>
        <w:t>Było:</w:t>
      </w:r>
    </w:p>
    <w:p w14:paraId="6D966850" w14:textId="77777777" w:rsidR="00887F80" w:rsidRPr="00887F80" w:rsidRDefault="00887F80" w:rsidP="00887F80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14:ligatures w14:val="standardContextual"/>
        </w:rPr>
      </w:pPr>
      <w:r w:rsidRPr="00887F80">
        <w:rPr>
          <w:rFonts w:ascii="Open Sans" w:eastAsia="Calibri" w:hAnsi="Open Sans" w:cs="Open Sans"/>
          <w:b/>
          <w:bCs/>
          <w:kern w:val="3"/>
        </w:rPr>
        <w:t>Ośrodek wsparcia ekonomii społecznej</w:t>
      </w:r>
      <w:r w:rsidRPr="00887F80">
        <w:rPr>
          <w:rFonts w:ascii="Open Sans" w:eastAsia="Calibri" w:hAnsi="Open Sans" w:cs="Open Sans"/>
          <w:kern w:val="3"/>
        </w:rPr>
        <w:t xml:space="preserve"> – ośrodek wsparcia ekonomii społecznej, o którym mowa w art. 36 ust. 1 ustawy z dnia 5 sierpnia 2022 r. o ekonomii społecznej (Dz. U. poz. 1812, z późn. zm.);</w:t>
      </w:r>
    </w:p>
    <w:p w14:paraId="71C635F5" w14:textId="3763056F" w:rsidR="00887F80" w:rsidRPr="00FD6029" w:rsidRDefault="00887F8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/>
          <w:bCs/>
          <w:kern w:val="2"/>
          <w14:ligatures w14:val="standardContextual"/>
        </w:rPr>
        <w:t>Jest:</w:t>
      </w:r>
    </w:p>
    <w:p w14:paraId="2EF1B668" w14:textId="77777777" w:rsidR="00887F80" w:rsidRPr="00FD6029" w:rsidRDefault="00887F80" w:rsidP="00887F80">
      <w:pPr>
        <w:autoSpaceDE w:val="0"/>
        <w:autoSpaceDN w:val="0"/>
        <w:adjustRightInd w:val="0"/>
        <w:spacing w:before="120" w:after="120"/>
        <w:rPr>
          <w:rFonts w:ascii="Open Sans" w:eastAsia="Calibri" w:hAnsi="Open Sans" w:cs="Open Sans"/>
          <w:kern w:val="3"/>
        </w:rPr>
      </w:pPr>
      <w:r w:rsidRPr="00887F80">
        <w:rPr>
          <w:rFonts w:ascii="Open Sans" w:eastAsia="Calibri" w:hAnsi="Open Sans" w:cs="Open Sans"/>
          <w:b/>
          <w:bCs/>
          <w:kern w:val="3"/>
        </w:rPr>
        <w:t>Ośrodek wsparcia ekonomii społecznej</w:t>
      </w:r>
      <w:r w:rsidRPr="00887F80">
        <w:rPr>
          <w:rFonts w:ascii="Open Sans" w:eastAsia="Calibri" w:hAnsi="Open Sans" w:cs="Open Sans"/>
          <w:kern w:val="3"/>
        </w:rPr>
        <w:t xml:space="preserve"> – ośrodek wsparcia ekonomii społecznej, o którym mowa w art. 36 ust. 1 ustawy z dnia 5 sierpnia 2022 r. o ekonomii społecznej (Dz. U. z 2023 r. poz.1287, z późn. zm.);</w:t>
      </w:r>
    </w:p>
    <w:p w14:paraId="3FDA7B05" w14:textId="77777777" w:rsidR="00797648" w:rsidRPr="00887F80" w:rsidRDefault="00797648" w:rsidP="00887F80">
      <w:pPr>
        <w:autoSpaceDE w:val="0"/>
        <w:autoSpaceDN w:val="0"/>
        <w:adjustRightInd w:val="0"/>
        <w:spacing w:before="120" w:after="120"/>
        <w:rPr>
          <w:rFonts w:ascii="Open Sans" w:hAnsi="Open Sans" w:cs="Open Sans"/>
          <w:b/>
          <w:bCs/>
          <w14:ligatures w14:val="standardContextual"/>
        </w:rPr>
      </w:pPr>
    </w:p>
    <w:p w14:paraId="4179D080" w14:textId="7940A7C5" w:rsidR="00C32A09" w:rsidRDefault="00797648" w:rsidP="00C32A09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C32A0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Zmieniony został również załącznik:</w:t>
      </w:r>
    </w:p>
    <w:p w14:paraId="5E16F25B" w14:textId="407138A3" w:rsidR="00C32A09" w:rsidRPr="00C32A09" w:rsidRDefault="00C32A09" w:rsidP="00116D6C">
      <w:pPr>
        <w:pStyle w:val="Akapitzlist"/>
        <w:numPr>
          <w:ilvl w:val="0"/>
          <w:numId w:val="26"/>
        </w:numPr>
        <w:spacing w:before="240" w:after="240" w:line="360" w:lineRule="auto"/>
        <w:ind w:left="426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C32A0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Załącznik nr 6</w:t>
      </w:r>
      <w:r w:rsidRPr="00C32A09">
        <w:rPr>
          <w:rFonts w:ascii="Open Sans" w:eastAsia="Times New Roman" w:hAnsi="Open Sans" w:cs="Open Sans"/>
          <w:color w:val="000000" w:themeColor="text1"/>
          <w:kern w:val="3"/>
        </w:rPr>
        <w:t xml:space="preserve"> Wzór umowy o dofinansowanie projektu ze środków EFS + z załącznikami – dla umów innych niż rozliczane kwotami ryczałtowymi (w tym wzór weksla) w zakresie </w:t>
      </w:r>
      <w:r w:rsidRPr="00C32A0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załącznika nr 9 do umowy</w:t>
      </w:r>
      <w:r w:rsidRPr="00C32A09">
        <w:rPr>
          <w:rFonts w:ascii="Open Sans" w:eastAsia="Times New Roman" w:hAnsi="Open Sans" w:cs="Open Sans"/>
          <w:color w:val="000000" w:themeColor="text1"/>
          <w:kern w:val="3"/>
        </w:rPr>
        <w:t xml:space="preserve"> Szczegółowe wytyczne dotyczące realizacji danego rodzaju projektów </w:t>
      </w:r>
    </w:p>
    <w:p w14:paraId="3B2AD332" w14:textId="5537F09F" w:rsidR="00797648" w:rsidRPr="00C32A09" w:rsidRDefault="00797648" w:rsidP="00116D6C">
      <w:pPr>
        <w:pStyle w:val="Akapitzlist"/>
        <w:numPr>
          <w:ilvl w:val="0"/>
          <w:numId w:val="26"/>
        </w:numPr>
        <w:spacing w:before="240" w:after="240" w:line="360" w:lineRule="auto"/>
        <w:ind w:left="426"/>
        <w:rPr>
          <w:rFonts w:ascii="Open Sans" w:eastAsiaTheme="minorEastAsia" w:hAnsi="Open Sans" w:cs="Open Sans"/>
        </w:rPr>
      </w:pPr>
      <w:r w:rsidRPr="00C32A0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Załącznik nr </w:t>
      </w:r>
      <w:r w:rsidR="00A0323B" w:rsidRPr="00C32A0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8</w:t>
      </w:r>
      <w:r w:rsidRPr="00C32A0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</w:t>
      </w:r>
      <w:r w:rsidRPr="00C32A09">
        <w:rPr>
          <w:rFonts w:ascii="Open Sans" w:eastAsiaTheme="minorEastAsia" w:hAnsi="Open Sans" w:cs="Open Sans"/>
        </w:rPr>
        <w:t>Systematyka kryteriów wyboru projektów współfinansowanych z Europejskiego Funduszu Społecznego + w ramach programu Fundusze Europejskie dla Podlaskiego na lata 2021-2027 - kryteria ogólne wyboru projektów</w:t>
      </w:r>
    </w:p>
    <w:p w14:paraId="4B79464D" w14:textId="77777777" w:rsidR="00C32A09" w:rsidRPr="000D715F" w:rsidRDefault="00C32A09" w:rsidP="00797648">
      <w:pPr>
        <w:pStyle w:val="Akapitzlist"/>
        <w:spacing w:before="240" w:after="240" w:line="360" w:lineRule="auto"/>
        <w:ind w:left="284"/>
        <w:rPr>
          <w:rFonts w:ascii="Open Sans" w:eastAsiaTheme="minorEastAsia" w:hAnsi="Open Sans" w:cs="Open Sans"/>
        </w:rPr>
      </w:pPr>
    </w:p>
    <w:p w14:paraId="26734383" w14:textId="77777777" w:rsidR="00887F80" w:rsidRPr="00FD6029" w:rsidRDefault="00887F80" w:rsidP="00250E6E">
      <w:pPr>
        <w:autoSpaceDE w:val="0"/>
        <w:autoSpaceDN w:val="0"/>
        <w:adjustRightInd w:val="0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61F27DDE" w14:textId="155AF20D" w:rsidR="00492FC6" w:rsidRPr="000D3100" w:rsidRDefault="00492FC6" w:rsidP="00504133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  <w:r w:rsidRPr="00FD6029">
        <w:rPr>
          <w:rFonts w:ascii="Open Sans" w:hAnsi="Open Sans" w:cs="Open Sans"/>
          <w:kern w:val="2"/>
          <w14:ligatures w14:val="standardContextual"/>
        </w:rPr>
        <w:t>Uzasadnienie: Zmiana zapisów Regulaminu wyboru projektów wynika z</w:t>
      </w:r>
      <w:r w:rsidR="00504133">
        <w:rPr>
          <w:rFonts w:ascii="Open Sans" w:hAnsi="Open Sans" w:cs="Open Sans"/>
          <w:kern w:val="2"/>
          <w14:ligatures w14:val="standardContextual"/>
        </w:rPr>
        <w:t xml:space="preserve">e zmiany </w:t>
      </w:r>
      <w:r w:rsidR="00504133" w:rsidRPr="00504133">
        <w:rPr>
          <w:rFonts w:ascii="Open Sans" w:hAnsi="Open Sans" w:cs="Open Sans"/>
          <w:kern w:val="2"/>
          <w14:ligatures w14:val="standardContextual"/>
        </w:rPr>
        <w:t>Wytyczn</w:t>
      </w:r>
      <w:r w:rsidR="00504133">
        <w:rPr>
          <w:rFonts w:ascii="Open Sans" w:hAnsi="Open Sans" w:cs="Open Sans"/>
          <w:kern w:val="2"/>
          <w14:ligatures w14:val="standardContextual"/>
        </w:rPr>
        <w:t>ych</w:t>
      </w:r>
      <w:r w:rsidR="00504133" w:rsidRPr="00504133">
        <w:rPr>
          <w:rFonts w:ascii="Open Sans" w:hAnsi="Open Sans" w:cs="Open Sans"/>
          <w:kern w:val="2"/>
          <w14:ligatures w14:val="standardContextual"/>
        </w:rPr>
        <w:t xml:space="preserve"> dotycząc</w:t>
      </w:r>
      <w:r w:rsidR="00504133">
        <w:rPr>
          <w:rFonts w:ascii="Open Sans" w:hAnsi="Open Sans" w:cs="Open Sans"/>
          <w:kern w:val="2"/>
          <w14:ligatures w14:val="standardContextual"/>
        </w:rPr>
        <w:t>ych</w:t>
      </w:r>
      <w:r w:rsidR="00504133" w:rsidRPr="00504133">
        <w:rPr>
          <w:rFonts w:ascii="Open Sans" w:hAnsi="Open Sans" w:cs="Open Sans"/>
          <w:kern w:val="2"/>
          <w14:ligatures w14:val="standardContextual"/>
        </w:rPr>
        <w:t xml:space="preserve"> realizacji projektów z udziałem środków Europejskiego</w:t>
      </w:r>
      <w:r w:rsidR="000D3100">
        <w:rPr>
          <w:rFonts w:ascii="Open Sans" w:hAnsi="Open Sans" w:cs="Open Sans"/>
          <w:kern w:val="2"/>
          <w14:ligatures w14:val="standardContextual"/>
        </w:rPr>
        <w:t xml:space="preserve"> </w:t>
      </w:r>
      <w:r w:rsidR="00504133" w:rsidRPr="00504133">
        <w:rPr>
          <w:rFonts w:ascii="Open Sans" w:hAnsi="Open Sans" w:cs="Open Sans"/>
          <w:kern w:val="2"/>
          <w14:ligatures w14:val="standardContextual"/>
        </w:rPr>
        <w:t>Funduszu Społecznego Plus w regionalnych programach na lata 2021–2027</w:t>
      </w:r>
      <w:r w:rsidR="00504133">
        <w:rPr>
          <w:rFonts w:ascii="Open Sans" w:hAnsi="Open Sans" w:cs="Open Sans"/>
          <w:kern w:val="2"/>
          <w14:ligatures w14:val="standardContextual"/>
        </w:rPr>
        <w:t xml:space="preserve"> oraz </w:t>
      </w:r>
      <w:r w:rsidRPr="00FD6029">
        <w:rPr>
          <w:rFonts w:ascii="Open Sans" w:hAnsi="Open Sans" w:cs="Open Sans"/>
          <w:kern w:val="2"/>
          <w14:ligatures w14:val="standardContextual"/>
        </w:rPr>
        <w:t xml:space="preserve">przyjęcia przez Komitet Monitorujący FEdP 2021-2027 zmian w systematyce ogólnych kryteriów wyboru projektów współfinansowanych z Europejskiego Funduszu Społecznego +  w ramach programu fundusze Europejskie dla Podlaskiego na lata 2021-2027. Do momentu zmiany Regulaminu nie złożono jeszcze wniosku o dofinansowanie. Termin składania wniosków w ramach naboru został wydłużony w wyniku zmian w zakresie kryteriów wyboru projektów. </w:t>
      </w:r>
      <w:r w:rsidRPr="00FD6029">
        <w:rPr>
          <w:rFonts w:ascii="Open Sans" w:eastAsia="Calibri" w:hAnsi="Open Sans" w:cs="Open Sans"/>
          <w:color w:val="000000" w:themeColor="text1"/>
        </w:rPr>
        <w:t>Ww. zmiana nie powoduje zachwiania konkurencyjności.</w:t>
      </w:r>
    </w:p>
    <w:p w14:paraId="2ED3AA2E" w14:textId="77777777" w:rsidR="00492FC6" w:rsidRPr="00FD6029" w:rsidRDefault="00492FC6" w:rsidP="00492FC6">
      <w:pPr>
        <w:rPr>
          <w:rFonts w:ascii="Open Sans" w:eastAsia="Calibri" w:hAnsi="Open Sans" w:cs="Open Sans"/>
          <w:color w:val="000000" w:themeColor="text1"/>
        </w:rPr>
      </w:pPr>
    </w:p>
    <w:p w14:paraId="09347C35" w14:textId="2C8EC6EB" w:rsidR="00492FC6" w:rsidRPr="00F2330B" w:rsidRDefault="00492FC6" w:rsidP="00492FC6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>Uaktualniony w w/w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 w:rsidR="00985175" w:rsidRPr="00FD6029">
        <w:rPr>
          <w:rFonts w:ascii="Open Sans" w:eastAsia="Times New Roman" w:hAnsi="Open Sans" w:cs="Open Sans"/>
          <w:lang w:eastAsia="pl-PL"/>
        </w:rPr>
        <w:t>15</w:t>
      </w:r>
      <w:r w:rsidRPr="00FD6029">
        <w:rPr>
          <w:rFonts w:ascii="Open Sans" w:eastAsia="Times New Roman" w:hAnsi="Open Sans" w:cs="Open Sans"/>
          <w:lang w:eastAsia="pl-PL"/>
        </w:rPr>
        <w:t>.1</w:t>
      </w:r>
      <w:r w:rsidR="00985175" w:rsidRPr="00FD6029">
        <w:rPr>
          <w:rFonts w:ascii="Open Sans" w:eastAsia="Times New Roman" w:hAnsi="Open Sans" w:cs="Open Sans"/>
          <w:lang w:eastAsia="pl-PL"/>
        </w:rPr>
        <w:t>2</w:t>
      </w:r>
      <w:r w:rsidRPr="00FD6029">
        <w:rPr>
          <w:rFonts w:ascii="Open Sans" w:eastAsia="Times New Roman" w:hAnsi="Open Sans" w:cs="Open Sans"/>
          <w:lang w:eastAsia="pl-PL"/>
        </w:rPr>
        <w:t>.2023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FD6029">
        <w:rPr>
          <w:rFonts w:ascii="Open Sans" w:eastAsia="Times New Roman" w:hAnsi="Open Sans" w:cs="Open Sans"/>
          <w:lang w:eastAsia="pl-PL"/>
        </w:rPr>
        <w:t>.</w:t>
      </w:r>
    </w:p>
    <w:bookmarkEnd w:id="0"/>
    <w:p w14:paraId="4AD81920" w14:textId="77777777" w:rsidR="00D40987" w:rsidRDefault="00D40987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</w:p>
    <w:sectPr w:rsidR="00D40987" w:rsidSect="0045777F"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1BEA" w14:textId="77777777" w:rsidR="004F34EF" w:rsidRDefault="004F34EF" w:rsidP="004D4C5C">
      <w:pPr>
        <w:spacing w:after="0" w:line="240" w:lineRule="auto"/>
      </w:pPr>
      <w:r>
        <w:separator/>
      </w:r>
    </w:p>
  </w:endnote>
  <w:endnote w:type="continuationSeparator" w:id="0">
    <w:p w14:paraId="31F824F7" w14:textId="77777777" w:rsidR="004F34EF" w:rsidRDefault="004F34EF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4F9E" w14:textId="77777777" w:rsidR="004F34EF" w:rsidRDefault="004F34EF" w:rsidP="004D4C5C">
      <w:pPr>
        <w:spacing w:after="0" w:line="240" w:lineRule="auto"/>
      </w:pPr>
      <w:r>
        <w:separator/>
      </w:r>
    </w:p>
  </w:footnote>
  <w:footnote w:type="continuationSeparator" w:id="0">
    <w:p w14:paraId="50CB25F3" w14:textId="77777777" w:rsidR="004F34EF" w:rsidRDefault="004F34EF" w:rsidP="004D4C5C">
      <w:pPr>
        <w:spacing w:after="0" w:line="240" w:lineRule="auto"/>
      </w:pPr>
      <w:r>
        <w:continuationSeparator/>
      </w:r>
    </w:p>
  </w:footnote>
  <w:footnote w:id="1">
    <w:p w14:paraId="5747E9DB" w14:textId="5222EE19" w:rsidR="00544936" w:rsidRPr="00AD48EE" w:rsidRDefault="00C928D4" w:rsidP="00544936">
      <w:pPr>
        <w:autoSpaceDE w:val="0"/>
        <w:adjustRightInd w:val="0"/>
        <w:spacing w:after="0"/>
        <w:jc w:val="both"/>
        <w:rPr>
          <w:rFonts w:ascii="Open Sans" w:hAnsi="Open Sans" w:cs="Open Sans"/>
          <w:sz w:val="16"/>
          <w:szCs w:val="16"/>
          <w14:ligatures w14:val="standardContextual"/>
        </w:rPr>
      </w:pPr>
      <w:r>
        <w:rPr>
          <w:rFonts w:ascii="Open Sans" w:hAnsi="Open Sans" w:cs="Open Sans"/>
          <w:sz w:val="16"/>
          <w:szCs w:val="16"/>
          <w:vertAlign w:val="superscript"/>
        </w:rPr>
        <w:t>13</w:t>
      </w:r>
      <w:r w:rsidR="00544936" w:rsidRPr="00AD48EE">
        <w:rPr>
          <w:rFonts w:ascii="Open Sans" w:hAnsi="Open Sans" w:cs="Open Sans"/>
          <w:sz w:val="16"/>
          <w:szCs w:val="16"/>
        </w:rPr>
        <w:t xml:space="preserve"> </w:t>
      </w:r>
      <w:r w:rsidR="00544936" w:rsidRPr="00AD48EE">
        <w:rPr>
          <w:rFonts w:ascii="Open Sans" w:hAnsi="Open Sans" w:cs="Open Sans"/>
          <w:sz w:val="16"/>
          <w:szCs w:val="16"/>
          <w14:ligatures w14:val="standardContextual"/>
        </w:rPr>
        <w:t>Uzasadnione przypadki to sytuacje gdy rozpoczęcie pracy na nowo utworzonych stanowiskach może zostać opóźnione z przyczyn niezależnych od przedsiębiorstwa, np. może dojść do opóźnień w wydawaniu zezwoleń wymaganych na miejsce pracy lub opóźnień w pracach budowlanych, które powodują, że przedsiębiorstwo nie jest w stanie prowadzić działalności gospodarczej. Decyzję o uznaniu przypadku za uzasadniony podejmuje beneficjent.</w:t>
      </w:r>
    </w:p>
    <w:p w14:paraId="7CE36440" w14:textId="77777777" w:rsidR="00544936" w:rsidRDefault="00544936" w:rsidP="005449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3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2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3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5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4"/>
  </w:num>
  <w:num w:numId="22" w16cid:durableId="1243639944">
    <w:abstractNumId w:val="21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91B49"/>
    <w:rsid w:val="0009409F"/>
    <w:rsid w:val="000A1FB8"/>
    <w:rsid w:val="000A78AA"/>
    <w:rsid w:val="000C14AF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77411"/>
    <w:rsid w:val="001B7A00"/>
    <w:rsid w:val="001C0C20"/>
    <w:rsid w:val="001C2A18"/>
    <w:rsid w:val="001D03F5"/>
    <w:rsid w:val="001F3A72"/>
    <w:rsid w:val="002029B0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57C6B"/>
    <w:rsid w:val="0037169D"/>
    <w:rsid w:val="00382987"/>
    <w:rsid w:val="003836EB"/>
    <w:rsid w:val="003B3ADF"/>
    <w:rsid w:val="003C2975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2A0E"/>
    <w:rsid w:val="006118CB"/>
    <w:rsid w:val="00630F56"/>
    <w:rsid w:val="00651AF9"/>
    <w:rsid w:val="00662ED0"/>
    <w:rsid w:val="00667EBC"/>
    <w:rsid w:val="006A7318"/>
    <w:rsid w:val="006C189A"/>
    <w:rsid w:val="006E0050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54AA2"/>
    <w:rsid w:val="008852AC"/>
    <w:rsid w:val="00887F80"/>
    <w:rsid w:val="008B4EA0"/>
    <w:rsid w:val="008C07E6"/>
    <w:rsid w:val="008D3669"/>
    <w:rsid w:val="008D3C9F"/>
    <w:rsid w:val="008F3CBD"/>
    <w:rsid w:val="00926CB8"/>
    <w:rsid w:val="00940E75"/>
    <w:rsid w:val="009410FA"/>
    <w:rsid w:val="00962D53"/>
    <w:rsid w:val="00983C5E"/>
    <w:rsid w:val="00985175"/>
    <w:rsid w:val="009C202E"/>
    <w:rsid w:val="009F0CCF"/>
    <w:rsid w:val="009F2401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23BE6"/>
    <w:rsid w:val="00B24F0C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D5234"/>
    <w:rsid w:val="00CD5591"/>
    <w:rsid w:val="00CF43AD"/>
    <w:rsid w:val="00D10AC5"/>
    <w:rsid w:val="00D172D6"/>
    <w:rsid w:val="00D213A0"/>
    <w:rsid w:val="00D40987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15A7"/>
    <w:rsid w:val="00E32EAC"/>
    <w:rsid w:val="00E60A0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76D61"/>
    <w:rsid w:val="00F945C6"/>
    <w:rsid w:val="00FD0BDB"/>
    <w:rsid w:val="00FD6029"/>
    <w:rsid w:val="00FE0182"/>
    <w:rsid w:val="00FE18F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MP20220001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2389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72</cp:revision>
  <cp:lastPrinted>2023-09-20T09:04:00Z</cp:lastPrinted>
  <dcterms:created xsi:type="dcterms:W3CDTF">2023-12-14T10:51:00Z</dcterms:created>
  <dcterms:modified xsi:type="dcterms:W3CDTF">2023-12-15T11:44:00Z</dcterms:modified>
</cp:coreProperties>
</file>