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p w14:paraId="4112A0F0" w14:textId="1E7C9B88" w:rsidR="00BD61F9" w:rsidRPr="00F41F1D" w:rsidRDefault="00BD61F9" w:rsidP="005F0D74">
      <w:pPr>
        <w:spacing w:after="120"/>
        <w:ind w:left="-142"/>
        <w:jc w:val="right"/>
        <w:rPr>
          <w:rFonts w:ascii="Open Sans" w:eastAsia="Times New Roman" w:hAnsi="Open Sans" w:cs="Open Sans"/>
          <w:lang w:eastAsia="pl-PL"/>
        </w:rPr>
      </w:pPr>
      <w:r w:rsidRPr="00F41F1D">
        <w:rPr>
          <w:rFonts w:ascii="Open Sans" w:eastAsia="Times New Roman" w:hAnsi="Open Sans" w:cs="Open Sans"/>
          <w:lang w:eastAsia="pl-PL"/>
        </w:rPr>
        <w:t xml:space="preserve">Białystok, </w:t>
      </w:r>
      <w:r w:rsidR="004C7385">
        <w:rPr>
          <w:rFonts w:ascii="Open Sans" w:eastAsia="Times New Roman" w:hAnsi="Open Sans" w:cs="Open Sans"/>
          <w:lang w:eastAsia="pl-PL"/>
        </w:rPr>
        <w:t>1 grudnia</w:t>
      </w:r>
      <w:r w:rsidR="00274757" w:rsidRPr="00F41F1D">
        <w:rPr>
          <w:rFonts w:ascii="Open Sans" w:eastAsia="Times New Roman" w:hAnsi="Open Sans" w:cs="Open Sans"/>
          <w:lang w:eastAsia="pl-PL"/>
        </w:rPr>
        <w:t xml:space="preserve"> </w:t>
      </w:r>
      <w:r w:rsidRPr="00F41F1D">
        <w:rPr>
          <w:rFonts w:ascii="Open Sans" w:eastAsia="Times New Roman" w:hAnsi="Open Sans" w:cs="Open Sans"/>
          <w:lang w:eastAsia="pl-PL"/>
        </w:rPr>
        <w:t>2023 r.</w:t>
      </w:r>
    </w:p>
    <w:p w14:paraId="6979E018" w14:textId="34B53363" w:rsidR="000C4933" w:rsidRDefault="000C4933" w:rsidP="000C4933">
      <w:pPr>
        <w:spacing w:before="360" w:line="23" w:lineRule="atLeast"/>
        <w:rPr>
          <w:rFonts w:ascii="Open Sans" w:eastAsia="Times New Roman" w:hAnsi="Open Sans" w:cs="Open Sans"/>
          <w:lang w:eastAsia="pl-PL"/>
        </w:rPr>
      </w:pPr>
      <w:r w:rsidRPr="00F41F1D">
        <w:rPr>
          <w:rFonts w:ascii="Open Sans" w:eastAsia="Times New Roman" w:hAnsi="Open Sans" w:cs="Open Sans"/>
          <w:lang w:eastAsia="pl-PL"/>
        </w:rPr>
        <w:t>EFS-</w:t>
      </w:r>
      <w:r w:rsidR="0044721F">
        <w:rPr>
          <w:rFonts w:ascii="Open Sans" w:eastAsia="Times New Roman" w:hAnsi="Open Sans" w:cs="Open Sans"/>
          <w:lang w:eastAsia="pl-PL"/>
        </w:rPr>
        <w:t>V</w:t>
      </w:r>
      <w:r w:rsidRPr="00F41F1D">
        <w:rPr>
          <w:rFonts w:ascii="Open Sans" w:eastAsia="Times New Roman" w:hAnsi="Open Sans" w:cs="Open Sans"/>
          <w:lang w:eastAsia="pl-PL"/>
        </w:rPr>
        <w:t>.432.</w:t>
      </w:r>
      <w:r w:rsidR="0044721F">
        <w:rPr>
          <w:rFonts w:ascii="Open Sans" w:eastAsia="Times New Roman" w:hAnsi="Open Sans" w:cs="Open Sans"/>
          <w:lang w:eastAsia="pl-PL"/>
        </w:rPr>
        <w:t>3</w:t>
      </w:r>
      <w:r w:rsidRPr="00F41F1D">
        <w:rPr>
          <w:rFonts w:ascii="Open Sans" w:eastAsia="Times New Roman" w:hAnsi="Open Sans" w:cs="Open Sans"/>
          <w:lang w:eastAsia="pl-PL"/>
        </w:rPr>
        <w:t>.</w:t>
      </w:r>
      <w:r w:rsidR="0044721F">
        <w:rPr>
          <w:rFonts w:ascii="Open Sans" w:eastAsia="Times New Roman" w:hAnsi="Open Sans" w:cs="Open Sans"/>
          <w:lang w:eastAsia="pl-PL"/>
        </w:rPr>
        <w:t>1</w:t>
      </w:r>
      <w:r w:rsidRPr="00F41F1D">
        <w:rPr>
          <w:rFonts w:ascii="Open Sans" w:eastAsia="Times New Roman" w:hAnsi="Open Sans" w:cs="Open Sans"/>
          <w:lang w:eastAsia="pl-PL"/>
        </w:rPr>
        <w:t>.2023.</w:t>
      </w:r>
      <w:r w:rsidR="0044721F">
        <w:rPr>
          <w:rFonts w:ascii="Open Sans" w:eastAsia="Times New Roman" w:hAnsi="Open Sans" w:cs="Open Sans"/>
          <w:lang w:eastAsia="pl-PL"/>
        </w:rPr>
        <w:t>IZ</w:t>
      </w:r>
    </w:p>
    <w:p w14:paraId="44D510FD" w14:textId="77777777" w:rsidR="00F2330B" w:rsidRPr="00F41F1D" w:rsidRDefault="00F2330B" w:rsidP="004C7385">
      <w:pPr>
        <w:keepNext/>
        <w:keepLines/>
        <w:spacing w:after="0"/>
        <w:outlineLvl w:val="2"/>
        <w:rPr>
          <w:rFonts w:ascii="Open Sans" w:eastAsia="Times New Roman" w:hAnsi="Open Sans" w:cs="Open Sans"/>
          <w:lang w:eastAsia="pl-PL"/>
        </w:rPr>
      </w:pPr>
    </w:p>
    <w:p w14:paraId="312D3309" w14:textId="7E14EEB9" w:rsidR="002A038A" w:rsidRPr="0044721F" w:rsidRDefault="00BD61F9" w:rsidP="002A038A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b/>
          <w:bCs/>
          <w:color w:val="1F3763" w:themeColor="accent1" w:themeShade="7F"/>
          <w:kern w:val="2"/>
          <w14:ligatures w14:val="standardContextual"/>
        </w:rPr>
      </w:pPr>
      <w:r w:rsidRPr="0044721F">
        <w:rPr>
          <w:rFonts w:ascii="Open Sans" w:eastAsia="Times New Roman" w:hAnsi="Open Sans" w:cs="Open Sans"/>
          <w:b/>
          <w:bCs/>
          <w:lang w:eastAsia="pl-PL"/>
        </w:rPr>
        <w:t xml:space="preserve">Komunikat nr </w:t>
      </w:r>
      <w:r w:rsidR="004C7385">
        <w:rPr>
          <w:rFonts w:ascii="Open Sans" w:eastAsia="Times New Roman" w:hAnsi="Open Sans" w:cs="Open Sans"/>
          <w:b/>
          <w:bCs/>
          <w:lang w:eastAsia="pl-PL"/>
        </w:rPr>
        <w:t>2</w:t>
      </w:r>
      <w:r w:rsidRPr="0044721F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F2330B" w:rsidRPr="0044721F">
        <w:rPr>
          <w:rFonts w:ascii="Open Sans" w:eastAsia="Times New Roman" w:hAnsi="Open Sans" w:cs="Open Sans"/>
          <w:b/>
          <w:bCs/>
          <w:lang w:eastAsia="pl-PL"/>
        </w:rPr>
        <w:br/>
      </w:r>
      <w:r w:rsidR="00237054" w:rsidRPr="0044721F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2A038A" w:rsidRPr="0044721F">
        <w:rPr>
          <w:rFonts w:ascii="Open Sans" w:eastAsia="Times New Roman" w:hAnsi="Open Sans" w:cs="Open Sans"/>
          <w:b/>
          <w:bCs/>
          <w:lang w:eastAsia="pl-PL"/>
        </w:rPr>
        <w:t xml:space="preserve">dotyczący  naboru o nr </w:t>
      </w:r>
      <w:r w:rsidR="002A038A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FEPD.08.0</w:t>
      </w:r>
      <w:r w:rsidR="0044721F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3</w:t>
      </w:r>
      <w:r w:rsidR="002A038A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-IZ.00-00</w:t>
      </w:r>
      <w:r w:rsidR="0044721F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2</w:t>
      </w:r>
      <w:r w:rsidR="002A038A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/23</w:t>
      </w:r>
    </w:p>
    <w:p w14:paraId="2E0B9C5D" w14:textId="276751D1" w:rsidR="002A038A" w:rsidRPr="0044721F" w:rsidRDefault="002A038A" w:rsidP="002A038A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44721F">
        <w:rPr>
          <w:rFonts w:ascii="Open Sans" w:eastAsia="Times New Roman" w:hAnsi="Open Sans" w:cs="Open Sans"/>
          <w:b/>
          <w:bCs/>
          <w:lang w:eastAsia="pl-PL"/>
        </w:rPr>
        <w:t xml:space="preserve">w ramach </w:t>
      </w:r>
      <w:r w:rsidRPr="0044721F">
        <w:rPr>
          <w:rFonts w:ascii="Open Sans" w:hAnsi="Open Sans" w:cs="Open Sans"/>
          <w:b/>
          <w:bCs/>
          <w:kern w:val="2"/>
          <w14:ligatures w14:val="standardContextual"/>
        </w:rPr>
        <w:t xml:space="preserve">Działania </w:t>
      </w:r>
      <w:r w:rsidRPr="0044721F">
        <w:rPr>
          <w:rFonts w:ascii="Open Sans" w:hAnsi="Open Sans" w:cs="Open Sans"/>
          <w:b/>
          <w:bCs/>
          <w:iCs/>
          <w:kern w:val="2"/>
          <w14:ligatures w14:val="standardContextual"/>
        </w:rPr>
        <w:t>8</w:t>
      </w:r>
      <w:r w:rsidR="0044721F" w:rsidRPr="0044721F">
        <w:rPr>
          <w:rFonts w:ascii="Open Sans" w:hAnsi="Open Sans" w:cs="Open Sans"/>
          <w:b/>
          <w:bCs/>
          <w:iCs/>
          <w:kern w:val="2"/>
          <w14:ligatures w14:val="standardContextual"/>
        </w:rPr>
        <w:t xml:space="preserve">.3 </w:t>
      </w:r>
      <w:r w:rsidRPr="0044721F">
        <w:rPr>
          <w:rFonts w:ascii="Open Sans" w:hAnsi="Open Sans" w:cs="Open Sans"/>
          <w:b/>
          <w:bCs/>
          <w:kern w:val="2"/>
          <w14:ligatures w14:val="standardContextual"/>
        </w:rPr>
        <w:t xml:space="preserve"> </w:t>
      </w:r>
      <w:r w:rsidR="0044721F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Zwiększenie aktywności </w:t>
      </w:r>
      <w:proofErr w:type="spellStart"/>
      <w:r w:rsidR="0044721F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społeczno</w:t>
      </w:r>
      <w:proofErr w:type="spellEnd"/>
      <w:r w:rsidR="0044721F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 – zawodowej</w:t>
      </w:r>
      <w:r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br/>
      </w:r>
      <w:r w:rsidRPr="0044721F">
        <w:rPr>
          <w:rFonts w:ascii="Open Sans" w:eastAsia="Times New Roman" w:hAnsi="Open Sans" w:cs="Open Sans"/>
          <w:b/>
          <w:bCs/>
          <w:lang w:eastAsia="pl-PL"/>
        </w:rPr>
        <w:t>programu Fundusze Europejskie dla Podlaskiego 2021-2027</w:t>
      </w:r>
    </w:p>
    <w:p w14:paraId="4F1DD3A4" w14:textId="0E7A6930" w:rsidR="00F2330B" w:rsidRPr="00F41F1D" w:rsidRDefault="00F2330B" w:rsidP="002A038A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b/>
          <w:bCs/>
          <w:lang w:eastAsia="pl-PL"/>
        </w:rPr>
      </w:pPr>
    </w:p>
    <w:bookmarkEnd w:id="0"/>
    <w:p w14:paraId="47697DB4" w14:textId="77777777" w:rsidR="004C7385" w:rsidRPr="00F2330B" w:rsidRDefault="004C7385" w:rsidP="004C7385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2330B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</w:p>
    <w:p w14:paraId="35084C91" w14:textId="77777777" w:rsidR="004C7385" w:rsidRPr="00F2330B" w:rsidRDefault="004C7385" w:rsidP="004C7385">
      <w:pPr>
        <w:spacing w:after="0"/>
        <w:rPr>
          <w:rFonts w:ascii="Open Sans" w:eastAsia="Times New Roman" w:hAnsi="Open Sans" w:cs="Open Sans"/>
          <w:bCs/>
          <w:color w:val="000000" w:themeColor="text1"/>
          <w:lang w:eastAsia="pl-PL"/>
        </w:rPr>
      </w:pP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F2330B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>w zakresie niżej wskazanym</w:t>
      </w:r>
      <w:r w:rsidRPr="00F2330B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56DFD2C6" w14:textId="77777777" w:rsidR="00EB4FD5" w:rsidRDefault="00EB4FD5" w:rsidP="00DE7147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lang w:eastAsia="pl-PL"/>
        </w:rPr>
      </w:pPr>
    </w:p>
    <w:p w14:paraId="7A2BB7FE" w14:textId="1E0D9A32" w:rsidR="00F969BA" w:rsidRPr="00F969BA" w:rsidRDefault="004C7385" w:rsidP="00DE7147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b/>
          <w:bCs/>
          <w:lang w:eastAsia="pl-PL"/>
        </w:rPr>
      </w:pPr>
      <w:r>
        <w:rPr>
          <w:rFonts w:ascii="Open Sans" w:eastAsia="Times New Roman" w:hAnsi="Open Sans" w:cs="Open Sans"/>
          <w:b/>
          <w:bCs/>
          <w:lang w:eastAsia="pl-PL"/>
        </w:rPr>
        <w:t>p</w:t>
      </w:r>
      <w:r w:rsidR="00F969BA" w:rsidRPr="00F969BA">
        <w:rPr>
          <w:rFonts w:ascii="Open Sans" w:eastAsia="Times New Roman" w:hAnsi="Open Sans" w:cs="Open Sans"/>
          <w:b/>
          <w:bCs/>
          <w:lang w:eastAsia="pl-PL"/>
        </w:rPr>
        <w:t>kt 2.5</w:t>
      </w:r>
      <w:r>
        <w:rPr>
          <w:rFonts w:ascii="Open Sans" w:eastAsia="Times New Roman" w:hAnsi="Open Sans" w:cs="Open Sans"/>
          <w:b/>
          <w:bCs/>
          <w:lang w:eastAsia="pl-PL"/>
        </w:rPr>
        <w:t xml:space="preserve">: </w:t>
      </w:r>
      <w:r w:rsidR="00F969BA" w:rsidRPr="00F969BA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>
        <w:rPr>
          <w:rFonts w:ascii="Open Sans" w:eastAsia="Times New Roman" w:hAnsi="Open Sans" w:cs="Open Sans"/>
          <w:b/>
          <w:bCs/>
          <w:lang w:eastAsia="pl-PL"/>
        </w:rPr>
        <w:t>W</w:t>
      </w:r>
      <w:r w:rsidR="00F969BA" w:rsidRPr="00F969BA">
        <w:rPr>
          <w:rFonts w:ascii="Open Sans" w:eastAsia="Times New Roman" w:hAnsi="Open Sans" w:cs="Open Sans"/>
          <w:b/>
          <w:bCs/>
          <w:lang w:eastAsia="pl-PL"/>
        </w:rPr>
        <w:t>skaźniki</w:t>
      </w:r>
    </w:p>
    <w:p w14:paraId="6867820C" w14:textId="6BEEB2AA" w:rsidR="00F969BA" w:rsidRPr="00F969BA" w:rsidRDefault="00F969BA" w:rsidP="00DE7147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b/>
          <w:bCs/>
          <w:lang w:eastAsia="pl-PL"/>
        </w:rPr>
      </w:pPr>
      <w:r w:rsidRPr="00F969BA">
        <w:rPr>
          <w:rFonts w:ascii="Open Sans" w:eastAsia="Times New Roman" w:hAnsi="Open Sans" w:cs="Open Sans"/>
          <w:b/>
          <w:bCs/>
          <w:lang w:eastAsia="pl-PL"/>
        </w:rPr>
        <w:t>Było:</w:t>
      </w:r>
    </w:p>
    <w:p w14:paraId="04690F7F" w14:textId="30C04CC2" w:rsidR="00F969BA" w:rsidRPr="00F969BA" w:rsidRDefault="00F969BA" w:rsidP="004C7385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(…)</w:t>
      </w:r>
      <w:bookmarkStart w:id="1" w:name="_Hlk143336429"/>
      <w:bookmarkStart w:id="2" w:name="_Hlk152311674"/>
      <w:bookmarkStart w:id="3" w:name="_Hlk152311855"/>
      <w:r w:rsidR="004C7385">
        <w:rPr>
          <w:rFonts w:ascii="Open Sans" w:eastAsia="Times New Roman" w:hAnsi="Open Sans" w:cs="Open Sans"/>
          <w:lang w:eastAsia="pl-PL"/>
        </w:rPr>
        <w:t xml:space="preserve"> </w:t>
      </w:r>
      <w:r w:rsidRPr="00F969BA">
        <w:rPr>
          <w:rFonts w:ascii="Open Sans" w:eastAsia="Calibri" w:hAnsi="Open Sans" w:cs="Open Sans"/>
          <w:kern w:val="3"/>
        </w:rPr>
        <w:t xml:space="preserve">Wskaźniki stosowane w ramach naboru na podstawie SZOP i programu </w:t>
      </w:r>
      <w:proofErr w:type="spellStart"/>
      <w:r w:rsidRPr="00F969BA">
        <w:rPr>
          <w:rFonts w:ascii="Open Sans" w:eastAsia="Calibri" w:hAnsi="Open Sans" w:cs="Open Sans"/>
          <w:kern w:val="3"/>
        </w:rPr>
        <w:t>FEdP</w:t>
      </w:r>
      <w:proofErr w:type="spellEnd"/>
      <w:r w:rsidRPr="00F969BA">
        <w:rPr>
          <w:rFonts w:ascii="Open Sans" w:eastAsia="Calibri" w:hAnsi="Open Sans" w:cs="Open Sans"/>
          <w:kern w:val="3"/>
        </w:rPr>
        <w:t xml:space="preserve"> 2021-2027 wymagające obligatoryjnie (adekwatnie do wsparcia) określenia wartości docelowej na etapie przygotowania wniosku o dofinansowanie projektu i monitorowania w projekcie:</w:t>
      </w:r>
    </w:p>
    <w:bookmarkEnd w:id="1"/>
    <w:p w14:paraId="4D8426D2" w14:textId="77777777" w:rsidR="00F969BA" w:rsidRP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obligatoryjne wskaźniki kluczowe produktu:</w:t>
      </w:r>
    </w:p>
    <w:p w14:paraId="61D21C28" w14:textId="77777777" w:rsidR="00F969BA" w:rsidRPr="00F969BA" w:rsidRDefault="00F969BA" w:rsidP="00F969BA">
      <w:pPr>
        <w:numPr>
          <w:ilvl w:val="0"/>
          <w:numId w:val="22"/>
        </w:numPr>
        <w:suppressAutoHyphens/>
        <w:autoSpaceDN w:val="0"/>
        <w:spacing w:before="120" w:after="120" w:line="240" w:lineRule="auto"/>
        <w:ind w:left="1071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długotrwale bezrobotnych objętych wsparciem w programie,</w:t>
      </w:r>
    </w:p>
    <w:p w14:paraId="548F0A83" w14:textId="77777777" w:rsidR="00F969BA" w:rsidRPr="00F969BA" w:rsidRDefault="00F969BA" w:rsidP="00F969BA">
      <w:pPr>
        <w:numPr>
          <w:ilvl w:val="0"/>
          <w:numId w:val="22"/>
        </w:numPr>
        <w:suppressAutoHyphens/>
        <w:autoSpaceDN w:val="0"/>
        <w:spacing w:before="120" w:after="120" w:line="240" w:lineRule="auto"/>
        <w:ind w:left="1071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z niepełnosprawnościami objętych wsparciem w programie,</w:t>
      </w:r>
    </w:p>
    <w:p w14:paraId="0E933795" w14:textId="77777777" w:rsidR="00F969BA" w:rsidRPr="00F969BA" w:rsidRDefault="00F969BA" w:rsidP="00F969BA">
      <w:pPr>
        <w:numPr>
          <w:ilvl w:val="0"/>
          <w:numId w:val="22"/>
        </w:numPr>
        <w:suppressAutoHyphens/>
        <w:autoSpaceDN w:val="0"/>
        <w:spacing w:before="120" w:after="120" w:line="240" w:lineRule="auto"/>
        <w:ind w:left="1071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należących do mniejszości, w tym społeczności marginalizowanych takich jak Romowie, objętych wsparciem w programie,</w:t>
      </w:r>
    </w:p>
    <w:p w14:paraId="40C80980" w14:textId="77777777" w:rsidR="00F969BA" w:rsidRPr="00F969BA" w:rsidRDefault="00F969BA" w:rsidP="00F969BA">
      <w:pPr>
        <w:numPr>
          <w:ilvl w:val="0"/>
          <w:numId w:val="22"/>
        </w:numPr>
        <w:suppressAutoHyphens/>
        <w:autoSpaceDN w:val="0"/>
        <w:spacing w:before="120" w:after="120" w:line="240" w:lineRule="auto"/>
        <w:ind w:left="1071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podmiotów ekonomii społecznej objętych wsparciem,</w:t>
      </w:r>
    </w:p>
    <w:p w14:paraId="55213A15" w14:textId="77777777" w:rsidR="00F969BA" w:rsidRPr="00F969BA" w:rsidRDefault="00F969BA" w:rsidP="00F969BA">
      <w:pPr>
        <w:numPr>
          <w:ilvl w:val="0"/>
          <w:numId w:val="22"/>
        </w:numPr>
        <w:suppressAutoHyphens/>
        <w:autoSpaceDN w:val="0"/>
        <w:spacing w:before="120" w:after="120" w:line="240" w:lineRule="auto"/>
        <w:ind w:left="1071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niezatrudnionych objętych wsparciem w programie,</w:t>
      </w:r>
    </w:p>
    <w:bookmarkEnd w:id="2"/>
    <w:p w14:paraId="76BE1583" w14:textId="77777777" w:rsidR="00F969BA" w:rsidRP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obligatoryjne wskaźniki kluczowe rezultatu:</w:t>
      </w:r>
    </w:p>
    <w:p w14:paraId="754C3347" w14:textId="77777777" w:rsidR="00F969BA" w:rsidRPr="00F969BA" w:rsidRDefault="00F969BA" w:rsidP="00F969BA">
      <w:pPr>
        <w:numPr>
          <w:ilvl w:val="0"/>
          <w:numId w:val="23"/>
        </w:numPr>
        <w:suppressAutoHyphens/>
        <w:autoSpaceDN w:val="0"/>
        <w:spacing w:before="120" w:after="120" w:line="240" w:lineRule="auto"/>
        <w:ind w:left="113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osób, które uzyskały kwalifikacje po opuszczeniu programu,</w:t>
      </w:r>
    </w:p>
    <w:p w14:paraId="07583231" w14:textId="77777777" w:rsidR="00F969BA" w:rsidRPr="00F969BA" w:rsidRDefault="00F969BA" w:rsidP="00F969BA">
      <w:pPr>
        <w:numPr>
          <w:ilvl w:val="0"/>
          <w:numId w:val="23"/>
        </w:numPr>
        <w:suppressAutoHyphens/>
        <w:autoSpaceDN w:val="0"/>
        <w:spacing w:before="120" w:after="120" w:line="240" w:lineRule="auto"/>
        <w:ind w:left="113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pracujących, łącznie z prowadzącymi działalność na własny rachunek, po opuszczeniu programu,</w:t>
      </w:r>
    </w:p>
    <w:p w14:paraId="5D8A3DF7" w14:textId="77777777" w:rsidR="00F969BA" w:rsidRPr="00F969BA" w:rsidRDefault="00F969BA" w:rsidP="00F969BA">
      <w:pPr>
        <w:numPr>
          <w:ilvl w:val="0"/>
          <w:numId w:val="23"/>
        </w:numPr>
        <w:suppressAutoHyphens/>
        <w:autoSpaceDN w:val="0"/>
        <w:spacing w:before="120" w:after="120" w:line="240" w:lineRule="auto"/>
        <w:ind w:left="113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miejsc pracy utworzonych w przedsiębiorstwach społecznych,</w:t>
      </w:r>
    </w:p>
    <w:p w14:paraId="1CAEB7CF" w14:textId="77777777" w:rsidR="003926C1" w:rsidRDefault="003926C1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</w:p>
    <w:p w14:paraId="6B8EC7EF" w14:textId="74B9F311" w:rsidR="00F969BA" w:rsidRP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Wskaźniki stosowane w ramach naboru jako obligatoryjne do monitorowania w projekcie, na podstawie danych zawartych we wniosku o płatność (na etapie przygotowywania wniosku o dofinansowanie projektu wnioskodawca może przypisać im wartość docelową „0”):</w:t>
      </w:r>
    </w:p>
    <w:p w14:paraId="4D609166" w14:textId="77777777" w:rsidR="003926C1" w:rsidRDefault="003926C1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</w:p>
    <w:p w14:paraId="7BDD52AF" w14:textId="77777777" w:rsidR="003926C1" w:rsidRDefault="003926C1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</w:p>
    <w:p w14:paraId="5F991582" w14:textId="08E2B242" w:rsidR="00F969BA" w:rsidRP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lastRenderedPageBreak/>
        <w:t>obligatoryjne wskaźniki wspólne produktu:</w:t>
      </w:r>
    </w:p>
    <w:p w14:paraId="0EDAF578" w14:textId="77777777" w:rsidR="00F969BA" w:rsidRPr="00F969BA" w:rsidRDefault="00F969BA" w:rsidP="00F969BA">
      <w:pPr>
        <w:numPr>
          <w:ilvl w:val="0"/>
          <w:numId w:val="24"/>
        </w:numPr>
        <w:suppressAutoHyphens/>
        <w:autoSpaceDN w:val="0"/>
        <w:spacing w:before="120" w:after="120" w:line="240" w:lineRule="auto"/>
        <w:ind w:left="113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obiektów dostosowanych do potrzeb osób z niepełnosprawnościami,</w:t>
      </w:r>
    </w:p>
    <w:p w14:paraId="0107BCE3" w14:textId="77777777" w:rsidR="00F969BA" w:rsidRPr="00F969BA" w:rsidRDefault="00F969BA" w:rsidP="00F969BA">
      <w:pPr>
        <w:numPr>
          <w:ilvl w:val="0"/>
          <w:numId w:val="24"/>
        </w:numPr>
        <w:suppressAutoHyphens/>
        <w:autoSpaceDN w:val="0"/>
        <w:spacing w:before="120" w:after="120" w:line="240" w:lineRule="auto"/>
        <w:ind w:left="113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objętych wsparciem mikro-, małych i średnich przedsiębiorstw (w tym spółdzielni i przedsiębiorstw społecznych),</w:t>
      </w:r>
    </w:p>
    <w:p w14:paraId="20E5FE19" w14:textId="77777777" w:rsidR="00F969BA" w:rsidRPr="00F969BA" w:rsidRDefault="00F969BA" w:rsidP="00F969BA">
      <w:pPr>
        <w:numPr>
          <w:ilvl w:val="0"/>
          <w:numId w:val="24"/>
        </w:numPr>
        <w:suppressAutoHyphens/>
        <w:autoSpaceDN w:val="0"/>
        <w:spacing w:before="120" w:after="120" w:line="240" w:lineRule="auto"/>
        <w:ind w:left="113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obcego pochodzenia objętych wsparciem w programie,</w:t>
      </w:r>
    </w:p>
    <w:p w14:paraId="3251D050" w14:textId="77777777" w:rsidR="00F969BA" w:rsidRPr="00F969BA" w:rsidRDefault="00F969BA" w:rsidP="00F969BA">
      <w:pPr>
        <w:numPr>
          <w:ilvl w:val="0"/>
          <w:numId w:val="24"/>
        </w:numPr>
        <w:suppressAutoHyphens/>
        <w:autoSpaceDN w:val="0"/>
        <w:spacing w:after="160" w:line="240" w:lineRule="auto"/>
        <w:ind w:left="1134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z krajów trzecich objętych wsparciem w programie,</w:t>
      </w:r>
    </w:p>
    <w:p w14:paraId="07B15A21" w14:textId="77777777" w:rsidR="00F969BA" w:rsidRPr="00F969BA" w:rsidRDefault="00F969BA" w:rsidP="00F969BA">
      <w:pPr>
        <w:numPr>
          <w:ilvl w:val="0"/>
          <w:numId w:val="24"/>
        </w:numPr>
        <w:suppressAutoHyphens/>
        <w:autoSpaceDN w:val="0"/>
        <w:spacing w:before="120" w:after="120" w:line="240" w:lineRule="auto"/>
        <w:ind w:left="113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w kryzysie bezdomności lub dotkniętych wykluczeniem z dostępu do mieszkań, objętych wsparciem w programie,</w:t>
      </w:r>
    </w:p>
    <w:p w14:paraId="178F76C6" w14:textId="049AA4ED" w:rsidR="00F969BA" w:rsidRPr="004C7385" w:rsidRDefault="00F969BA" w:rsidP="00F969BA">
      <w:pPr>
        <w:numPr>
          <w:ilvl w:val="0"/>
          <w:numId w:val="24"/>
        </w:numPr>
        <w:suppressAutoHyphens/>
        <w:autoSpaceDN w:val="0"/>
        <w:spacing w:before="120" w:after="120" w:line="240" w:lineRule="auto"/>
        <w:ind w:left="113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projektów, w których sfinansowano koszty racjonalnych usprawnień dla osób z niepełnosprawnościami.</w:t>
      </w:r>
      <w:bookmarkEnd w:id="3"/>
      <w:r w:rsidR="004C7385">
        <w:rPr>
          <w:rFonts w:ascii="Open Sans" w:eastAsia="Calibri" w:hAnsi="Open Sans" w:cs="Open Sans"/>
          <w:kern w:val="3"/>
        </w:rPr>
        <w:t xml:space="preserve"> </w:t>
      </w:r>
      <w:r w:rsidRPr="004C7385">
        <w:rPr>
          <w:rFonts w:ascii="Open Sans" w:eastAsia="Times New Roman" w:hAnsi="Open Sans" w:cs="Open Sans"/>
          <w:lang w:eastAsia="pl-PL"/>
        </w:rPr>
        <w:t>(…)”.</w:t>
      </w:r>
    </w:p>
    <w:p w14:paraId="271AD2F3" w14:textId="77777777" w:rsid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lang w:eastAsia="pl-PL"/>
        </w:rPr>
      </w:pPr>
    </w:p>
    <w:p w14:paraId="768D5B97" w14:textId="25462B54" w:rsidR="00F969BA" w:rsidRP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b/>
          <w:bCs/>
          <w:lang w:eastAsia="pl-PL"/>
        </w:rPr>
      </w:pPr>
      <w:r w:rsidRPr="00F969BA">
        <w:rPr>
          <w:rFonts w:ascii="Open Sans" w:eastAsia="Times New Roman" w:hAnsi="Open Sans" w:cs="Open Sans"/>
          <w:b/>
          <w:bCs/>
          <w:lang w:eastAsia="pl-PL"/>
        </w:rPr>
        <w:t>Jest:</w:t>
      </w:r>
    </w:p>
    <w:p w14:paraId="3D0355E6" w14:textId="4A3B21F6" w:rsidR="00F969BA" w:rsidRP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(…)</w:t>
      </w:r>
      <w:r w:rsidR="004C7385">
        <w:rPr>
          <w:rFonts w:ascii="Open Sans" w:eastAsia="Times New Roman" w:hAnsi="Open Sans" w:cs="Open Sans"/>
          <w:lang w:eastAsia="pl-PL"/>
        </w:rPr>
        <w:t xml:space="preserve"> </w:t>
      </w:r>
      <w:r w:rsidRPr="00F969BA">
        <w:rPr>
          <w:rFonts w:ascii="Open Sans" w:eastAsia="Calibri" w:hAnsi="Open Sans" w:cs="Open Sans"/>
          <w:kern w:val="3"/>
        </w:rPr>
        <w:t xml:space="preserve">Wskaźniki stosowane w ramach naboru na podstawie SZOP i programu </w:t>
      </w:r>
      <w:proofErr w:type="spellStart"/>
      <w:r w:rsidRPr="00F969BA">
        <w:rPr>
          <w:rFonts w:ascii="Open Sans" w:eastAsia="Calibri" w:hAnsi="Open Sans" w:cs="Open Sans"/>
          <w:kern w:val="3"/>
        </w:rPr>
        <w:t>FEdP</w:t>
      </w:r>
      <w:proofErr w:type="spellEnd"/>
      <w:r w:rsidRPr="00F969BA">
        <w:rPr>
          <w:rFonts w:ascii="Open Sans" w:eastAsia="Calibri" w:hAnsi="Open Sans" w:cs="Open Sans"/>
          <w:kern w:val="3"/>
        </w:rPr>
        <w:t xml:space="preserve"> 2021-2027 wymagające obligatoryjnie (adekwatnie do wsparcia) określenia wartości docelowej na etapie przygotowania wniosku o dofinansowanie projektu i monitorowania w projekcie:</w:t>
      </w:r>
    </w:p>
    <w:p w14:paraId="44031CD0" w14:textId="77777777" w:rsidR="00F969BA" w:rsidRP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obligatoryjne wskaźniki kluczowe produktu:</w:t>
      </w:r>
    </w:p>
    <w:p w14:paraId="4675439C" w14:textId="77777777" w:rsidR="00F969BA" w:rsidRPr="00F969BA" w:rsidRDefault="00F969BA" w:rsidP="002C0C2B">
      <w:pPr>
        <w:numPr>
          <w:ilvl w:val="0"/>
          <w:numId w:val="27"/>
        </w:num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długotrwale bezrobotnych objętych wsparciem w programie,</w:t>
      </w:r>
    </w:p>
    <w:p w14:paraId="1BAF8EAB" w14:textId="77777777" w:rsidR="00F969BA" w:rsidRPr="00F969BA" w:rsidRDefault="00F969BA" w:rsidP="002C0C2B">
      <w:pPr>
        <w:numPr>
          <w:ilvl w:val="0"/>
          <w:numId w:val="27"/>
        </w:num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z niepełnosprawnościami objętych wsparciem w programie,</w:t>
      </w:r>
    </w:p>
    <w:p w14:paraId="7264CBE2" w14:textId="77777777" w:rsidR="00F969BA" w:rsidRPr="00F969BA" w:rsidRDefault="00F969BA" w:rsidP="002C0C2B">
      <w:pPr>
        <w:numPr>
          <w:ilvl w:val="0"/>
          <w:numId w:val="27"/>
        </w:num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podmiotów ekonomii społecznej objętych wsparciem,</w:t>
      </w:r>
    </w:p>
    <w:p w14:paraId="1FEE8375" w14:textId="77777777" w:rsidR="00F969BA" w:rsidRPr="00F969BA" w:rsidRDefault="00F969BA" w:rsidP="002C0C2B">
      <w:pPr>
        <w:numPr>
          <w:ilvl w:val="0"/>
          <w:numId w:val="27"/>
        </w:num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niezatrudnionych objętych wsparciem w programie,</w:t>
      </w:r>
    </w:p>
    <w:p w14:paraId="4F2DDE7C" w14:textId="77777777" w:rsidR="003926C1" w:rsidRDefault="003926C1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</w:p>
    <w:p w14:paraId="1C35D7C7" w14:textId="3617EEB8" w:rsidR="00F969BA" w:rsidRP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obligatoryjne wskaźniki kluczowe rezultatu:</w:t>
      </w:r>
    </w:p>
    <w:p w14:paraId="58A3B094" w14:textId="77777777" w:rsidR="00F969BA" w:rsidRPr="00F969BA" w:rsidRDefault="00F969BA" w:rsidP="002C0C2B">
      <w:pPr>
        <w:numPr>
          <w:ilvl w:val="0"/>
          <w:numId w:val="28"/>
        </w:numPr>
        <w:suppressAutoHyphens/>
        <w:autoSpaceDN w:val="0"/>
        <w:spacing w:before="120" w:after="120" w:line="240" w:lineRule="auto"/>
        <w:ind w:left="1134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osób, które uzyskały kwalifikacje po opuszczeniu programu,</w:t>
      </w:r>
    </w:p>
    <w:p w14:paraId="1AB9FBF4" w14:textId="77777777" w:rsidR="00F969BA" w:rsidRPr="00F969BA" w:rsidRDefault="00F969BA" w:rsidP="002C0C2B">
      <w:pPr>
        <w:numPr>
          <w:ilvl w:val="0"/>
          <w:numId w:val="28"/>
        </w:numPr>
        <w:suppressAutoHyphens/>
        <w:autoSpaceDN w:val="0"/>
        <w:spacing w:before="120" w:after="120" w:line="240" w:lineRule="auto"/>
        <w:ind w:left="1134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pracujących, łącznie z prowadzącymi działalność na własny rachunek, po opuszczeniu programu,</w:t>
      </w:r>
    </w:p>
    <w:p w14:paraId="6C037F7A" w14:textId="77777777" w:rsidR="00F969BA" w:rsidRPr="00F969BA" w:rsidRDefault="00F969BA" w:rsidP="002C0C2B">
      <w:pPr>
        <w:numPr>
          <w:ilvl w:val="0"/>
          <w:numId w:val="28"/>
        </w:numPr>
        <w:suppressAutoHyphens/>
        <w:autoSpaceDN w:val="0"/>
        <w:spacing w:before="120" w:after="120" w:line="240" w:lineRule="auto"/>
        <w:ind w:left="1134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miejsc pracy utworzonych w przedsiębiorstwach społecznych,</w:t>
      </w:r>
    </w:p>
    <w:p w14:paraId="3D4B5577" w14:textId="6CBAF16F" w:rsidR="00F969BA" w:rsidRP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Wskaźniki stosowane w ramach naboru jako obligatoryjne do monitorowania w projekcie, na podstawie danych zawartych we wniosku o płatność (na etapie przygotowywania wniosku o dofinansowanie projektu wnioskodawca może przypisać im wartość docelową „0”):</w:t>
      </w:r>
    </w:p>
    <w:p w14:paraId="0E1A7C84" w14:textId="77777777" w:rsidR="00F969BA" w:rsidRP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obligatoryjne wskaźniki wspólne produktu:</w:t>
      </w:r>
    </w:p>
    <w:p w14:paraId="5536E460" w14:textId="77777777" w:rsidR="00F969BA" w:rsidRDefault="00F969BA" w:rsidP="00F969BA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obiektów dostosowanych do potrzeb osób z niepełnosprawnościami,</w:t>
      </w:r>
    </w:p>
    <w:p w14:paraId="40419E19" w14:textId="77777777" w:rsidR="00F969BA" w:rsidRDefault="00F969BA" w:rsidP="00F969BA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objętych wsparciem mikro-, małych i średnich przedsiębiorstw (w tym spółdzielni i przedsiębiorstw społecznych),</w:t>
      </w:r>
    </w:p>
    <w:p w14:paraId="7155C5E6" w14:textId="77777777" w:rsidR="00F969BA" w:rsidRDefault="00F969BA" w:rsidP="00F969BA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obcego pochodzenia objętych wsparciem w programie,</w:t>
      </w:r>
    </w:p>
    <w:p w14:paraId="0235762F" w14:textId="77777777" w:rsidR="00F969BA" w:rsidRDefault="00F969BA" w:rsidP="00F969BA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z krajów trzecich objętych wsparciem w programie,</w:t>
      </w:r>
    </w:p>
    <w:p w14:paraId="55255D21" w14:textId="77777777" w:rsidR="00F969BA" w:rsidRDefault="00F969BA" w:rsidP="00F969BA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w kryzysie bezdomności lub dotkniętych wykluczeniem z dostępu do mieszkań, objętych wsparciem w programie,</w:t>
      </w:r>
    </w:p>
    <w:p w14:paraId="194227BC" w14:textId="77777777" w:rsidR="00F969BA" w:rsidRDefault="00F969BA" w:rsidP="00F969BA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lastRenderedPageBreak/>
        <w:t>Liczba projektów, w których sfinansowano koszty racjonalnych usprawnień dla osób z niepełnosprawnościami.</w:t>
      </w:r>
    </w:p>
    <w:p w14:paraId="594D1796" w14:textId="6670E8F3" w:rsidR="00F969BA" w:rsidRPr="004C7385" w:rsidRDefault="00F969BA" w:rsidP="00F969BA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969BA">
        <w:rPr>
          <w:rFonts w:ascii="Open Sans" w:eastAsia="Calibri" w:hAnsi="Open Sans" w:cs="Open Sans"/>
          <w:kern w:val="3"/>
        </w:rPr>
        <w:t>Liczba osób należących do mniejszości, w tym społeczności marginalizowanych takich jak Romowie, objętych wsparciem w programie.</w:t>
      </w:r>
      <w:r w:rsidR="004C7385">
        <w:rPr>
          <w:rFonts w:ascii="Open Sans" w:eastAsia="Calibri" w:hAnsi="Open Sans" w:cs="Open Sans"/>
          <w:kern w:val="3"/>
        </w:rPr>
        <w:t xml:space="preserve"> </w:t>
      </w:r>
      <w:r w:rsidRPr="004C7385">
        <w:rPr>
          <w:rFonts w:ascii="Open Sans" w:eastAsia="Calibri" w:hAnsi="Open Sans" w:cs="Open Sans"/>
          <w:kern w:val="3"/>
        </w:rPr>
        <w:t xml:space="preserve">(…)”. </w:t>
      </w:r>
    </w:p>
    <w:p w14:paraId="08C6DCDF" w14:textId="77777777" w:rsidR="00F969BA" w:rsidRDefault="00F969BA" w:rsidP="00F969BA">
      <w:p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</w:p>
    <w:p w14:paraId="68EB7EE4" w14:textId="46092E7E" w:rsidR="00F969BA" w:rsidRPr="004C7385" w:rsidRDefault="00F969BA" w:rsidP="00F969BA">
      <w:p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b/>
          <w:bCs/>
          <w:kern w:val="3"/>
        </w:rPr>
      </w:pPr>
      <w:r w:rsidRPr="004C7385">
        <w:rPr>
          <w:rFonts w:ascii="Open Sans" w:eastAsia="Calibri" w:hAnsi="Open Sans" w:cs="Open Sans"/>
          <w:b/>
          <w:bCs/>
          <w:kern w:val="3"/>
        </w:rPr>
        <w:t>Uzasadnienie:</w:t>
      </w:r>
    </w:p>
    <w:p w14:paraId="43503D62" w14:textId="58D63C32" w:rsidR="00F969BA" w:rsidRDefault="00F969BA" w:rsidP="00F969BA">
      <w:p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  <w:r>
        <w:rPr>
          <w:rFonts w:ascii="Open Sans" w:eastAsia="Calibri" w:hAnsi="Open Sans" w:cs="Open Sans"/>
          <w:kern w:val="3"/>
        </w:rPr>
        <w:t>Powyższa zmiana polega na przeniesieniu wskaźnika „</w:t>
      </w:r>
      <w:r w:rsidRPr="00F969BA">
        <w:rPr>
          <w:rFonts w:ascii="Open Sans" w:eastAsia="Calibri" w:hAnsi="Open Sans" w:cs="Open Sans"/>
          <w:kern w:val="3"/>
        </w:rPr>
        <w:t>Liczba osób należących do mniejszości, w tym społeczności marginalizowanych takich jak Romowie, objętych wsparciem w programie</w:t>
      </w:r>
      <w:r>
        <w:rPr>
          <w:rFonts w:ascii="Open Sans" w:eastAsia="Calibri" w:hAnsi="Open Sans" w:cs="Open Sans"/>
          <w:kern w:val="3"/>
        </w:rPr>
        <w:t xml:space="preserve">” z katalogu obligatoryjnych wskaźników kluczowych produktu, które należy wykazać z wartością docelową do obligatoryjnych wskaźników wspólnych produktu, które </w:t>
      </w:r>
      <w:r w:rsidRPr="00F969BA">
        <w:rPr>
          <w:rFonts w:ascii="Open Sans" w:eastAsia="Calibri" w:hAnsi="Open Sans" w:cs="Open Sans"/>
          <w:kern w:val="3"/>
        </w:rPr>
        <w:t xml:space="preserve">na etapie przygotowywania wniosku o dofinansowanie projektu </w:t>
      </w:r>
      <w:r>
        <w:rPr>
          <w:rFonts w:ascii="Open Sans" w:eastAsia="Calibri" w:hAnsi="Open Sans" w:cs="Open Sans"/>
          <w:kern w:val="3"/>
        </w:rPr>
        <w:t>mogą zostać wykazane z wartością</w:t>
      </w:r>
      <w:r w:rsidRPr="00F969BA">
        <w:rPr>
          <w:rFonts w:ascii="Open Sans" w:eastAsia="Calibri" w:hAnsi="Open Sans" w:cs="Open Sans"/>
          <w:kern w:val="3"/>
        </w:rPr>
        <w:t xml:space="preserve"> docelową „0”</w:t>
      </w:r>
      <w:r>
        <w:rPr>
          <w:rFonts w:ascii="Open Sans" w:eastAsia="Calibri" w:hAnsi="Open Sans" w:cs="Open Sans"/>
          <w:kern w:val="3"/>
        </w:rPr>
        <w:t xml:space="preserve"> i będą</w:t>
      </w:r>
      <w:r w:rsidRPr="00F969BA">
        <w:rPr>
          <w:rFonts w:ascii="Open Sans" w:eastAsia="Calibri" w:hAnsi="Open Sans" w:cs="Open Sans"/>
          <w:kern w:val="3"/>
        </w:rPr>
        <w:t xml:space="preserve"> monitorowan</w:t>
      </w:r>
      <w:r>
        <w:rPr>
          <w:rFonts w:ascii="Open Sans" w:eastAsia="Calibri" w:hAnsi="Open Sans" w:cs="Open Sans"/>
          <w:kern w:val="3"/>
        </w:rPr>
        <w:t>e</w:t>
      </w:r>
      <w:r w:rsidRPr="00F969BA">
        <w:rPr>
          <w:rFonts w:ascii="Open Sans" w:eastAsia="Calibri" w:hAnsi="Open Sans" w:cs="Open Sans"/>
          <w:kern w:val="3"/>
        </w:rPr>
        <w:t xml:space="preserve"> w projekcie, na podstawie danych zawartych we wniosku o płatność</w:t>
      </w:r>
      <w:r>
        <w:rPr>
          <w:rFonts w:ascii="Open Sans" w:eastAsia="Calibri" w:hAnsi="Open Sans" w:cs="Open Sans"/>
          <w:kern w:val="3"/>
        </w:rPr>
        <w:t>.</w:t>
      </w:r>
    </w:p>
    <w:p w14:paraId="5497E15E" w14:textId="4D2E8489" w:rsidR="004C7385" w:rsidRPr="00F969BA" w:rsidRDefault="004C7385" w:rsidP="00F969BA">
      <w:p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  <w:r>
        <w:rPr>
          <w:rFonts w:ascii="Open Sans" w:eastAsia="Calibri" w:hAnsi="Open Sans" w:cs="Open Sans"/>
          <w:kern w:val="3"/>
        </w:rPr>
        <w:t>Powyższe zgodne jest z założeniami „</w:t>
      </w:r>
      <w:r w:rsidRPr="004C7385">
        <w:rPr>
          <w:rFonts w:ascii="Open Sans" w:eastAsia="Calibri" w:hAnsi="Open Sans" w:cs="Open Sans"/>
          <w:kern w:val="3"/>
        </w:rPr>
        <w:t>List</w:t>
      </w:r>
      <w:r>
        <w:rPr>
          <w:rFonts w:ascii="Open Sans" w:eastAsia="Calibri" w:hAnsi="Open Sans" w:cs="Open Sans"/>
          <w:kern w:val="3"/>
        </w:rPr>
        <w:t>y</w:t>
      </w:r>
      <w:r w:rsidRPr="004C7385">
        <w:rPr>
          <w:rFonts w:ascii="Open Sans" w:eastAsia="Calibri" w:hAnsi="Open Sans" w:cs="Open Sans"/>
          <w:kern w:val="3"/>
        </w:rPr>
        <w:t xml:space="preserve"> Wskaźników Kluczowych 2021-2027 – EFS+</w:t>
      </w:r>
      <w:r>
        <w:rPr>
          <w:rFonts w:ascii="Open Sans" w:eastAsia="Calibri" w:hAnsi="Open Sans" w:cs="Open Sans"/>
          <w:kern w:val="3"/>
        </w:rPr>
        <w:t>”.</w:t>
      </w:r>
    </w:p>
    <w:p w14:paraId="0A7A58D4" w14:textId="77777777" w:rsidR="00F969BA" w:rsidRPr="00F969BA" w:rsidRDefault="00F969BA" w:rsidP="00F969BA">
      <w:pPr>
        <w:suppressAutoHyphens/>
        <w:autoSpaceDN w:val="0"/>
        <w:spacing w:before="120" w:after="120" w:line="240" w:lineRule="auto"/>
        <w:ind w:left="1134"/>
        <w:contextualSpacing/>
        <w:textAlignment w:val="baseline"/>
        <w:rPr>
          <w:rFonts w:ascii="Open Sans" w:eastAsia="Calibri" w:hAnsi="Open Sans" w:cs="Open Sans"/>
          <w:kern w:val="3"/>
        </w:rPr>
      </w:pPr>
    </w:p>
    <w:p w14:paraId="6E04526D" w14:textId="30E34F19" w:rsidR="00F969BA" w:rsidRPr="00F969BA" w:rsidRDefault="004C7385" w:rsidP="00F969BA">
      <w:pPr>
        <w:pStyle w:val="Nagwek2"/>
        <w:suppressAutoHyphens/>
        <w:autoSpaceDN w:val="0"/>
        <w:spacing w:before="200" w:after="200"/>
        <w:textAlignment w:val="baseline"/>
        <w:rPr>
          <w:rFonts w:ascii="Open Sans" w:eastAsia="Times New Roman" w:hAnsi="Open Sans" w:cs="Open Sans"/>
          <w:b/>
          <w:bCs/>
          <w:color w:val="auto"/>
          <w:kern w:val="3"/>
          <w:sz w:val="22"/>
          <w:szCs w:val="22"/>
        </w:rPr>
      </w:pPr>
      <w:r>
        <w:rPr>
          <w:rFonts w:ascii="Open Sans" w:eastAsia="Times New Roman" w:hAnsi="Open Sans" w:cs="Open Sans"/>
          <w:b/>
          <w:bCs/>
          <w:color w:val="auto"/>
          <w:lang w:eastAsia="pl-PL"/>
        </w:rPr>
        <w:t>p</w:t>
      </w:r>
      <w:r w:rsidR="00F969BA">
        <w:rPr>
          <w:rFonts w:ascii="Open Sans" w:eastAsia="Times New Roman" w:hAnsi="Open Sans" w:cs="Open Sans"/>
          <w:b/>
          <w:bCs/>
          <w:color w:val="auto"/>
          <w:lang w:eastAsia="pl-PL"/>
        </w:rPr>
        <w:t>kt</w:t>
      </w:r>
      <w:r w:rsidR="00F969BA" w:rsidRPr="00F969BA">
        <w:rPr>
          <w:rFonts w:ascii="Open Sans" w:eastAsia="Times New Roman" w:hAnsi="Open Sans" w:cs="Open Sans"/>
          <w:b/>
          <w:bCs/>
          <w:color w:val="auto"/>
          <w:lang w:eastAsia="pl-PL"/>
        </w:rPr>
        <w:t xml:space="preserve"> 5.2: </w:t>
      </w:r>
      <w:bookmarkStart w:id="4" w:name="_Toc134788940"/>
      <w:bookmarkStart w:id="5" w:name="_Toc134791385"/>
      <w:bookmarkStart w:id="6" w:name="_Toc135639032"/>
      <w:bookmarkStart w:id="7" w:name="_Toc135639173"/>
      <w:bookmarkStart w:id="8" w:name="_Toc135646048"/>
      <w:bookmarkStart w:id="9" w:name="_Toc135646487"/>
      <w:bookmarkStart w:id="10" w:name="_Toc135729936"/>
      <w:bookmarkStart w:id="11" w:name="_Toc135730666"/>
      <w:bookmarkStart w:id="12" w:name="_Toc135739830"/>
      <w:bookmarkStart w:id="13" w:name="_Toc135740195"/>
      <w:bookmarkStart w:id="14" w:name="_Toc135741397"/>
      <w:bookmarkStart w:id="15" w:name="_Toc135741439"/>
      <w:bookmarkStart w:id="16" w:name="_Toc135741915"/>
      <w:bookmarkStart w:id="17" w:name="_Toc135743593"/>
      <w:bookmarkStart w:id="18" w:name="_Toc135744679"/>
      <w:bookmarkStart w:id="19" w:name="_Toc135744729"/>
      <w:bookmarkStart w:id="20" w:name="_Toc135744779"/>
      <w:bookmarkStart w:id="21" w:name="_Toc135806884"/>
      <w:bookmarkStart w:id="22" w:name="_Toc135806926"/>
      <w:bookmarkStart w:id="23" w:name="_Toc135807807"/>
      <w:bookmarkStart w:id="24" w:name="_Toc135808286"/>
      <w:bookmarkStart w:id="25" w:name="_Toc135808473"/>
      <w:bookmarkStart w:id="26" w:name="_Toc135808675"/>
      <w:bookmarkStart w:id="27" w:name="_Toc150246606"/>
      <w:r w:rsidR="00F969BA" w:rsidRPr="00F969BA">
        <w:rPr>
          <w:rFonts w:ascii="Open Sans" w:eastAsia="Times New Roman" w:hAnsi="Open Sans" w:cs="Open Sans"/>
          <w:b/>
          <w:bCs/>
          <w:color w:val="auto"/>
          <w:kern w:val="3"/>
          <w:sz w:val="22"/>
          <w:szCs w:val="22"/>
        </w:rPr>
        <w:t>Zabezpieczenie prawidłowej realizacji umowy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0551BBD" w14:textId="2B66DDD6" w:rsidR="00F969BA" w:rsidRPr="004C7385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b/>
          <w:bCs/>
          <w:lang w:eastAsia="pl-PL"/>
        </w:rPr>
      </w:pPr>
      <w:r w:rsidRPr="004C7385">
        <w:rPr>
          <w:rFonts w:ascii="Open Sans" w:eastAsia="Times New Roman" w:hAnsi="Open Sans" w:cs="Open Sans"/>
          <w:b/>
          <w:bCs/>
          <w:lang w:eastAsia="pl-PL"/>
        </w:rPr>
        <w:t>Było:</w:t>
      </w:r>
    </w:p>
    <w:p w14:paraId="3F6ECC78" w14:textId="4EDB68EB" w:rsidR="00F969BA" w:rsidRPr="00F969BA" w:rsidRDefault="00F969BA" w:rsidP="00F969BA">
      <w:pPr>
        <w:pStyle w:val="Lista3"/>
        <w:spacing w:before="120" w:after="120" w:line="276" w:lineRule="auto"/>
        <w:ind w:left="0" w:firstLine="0"/>
        <w:rPr>
          <w:rFonts w:ascii="Open Sans" w:hAnsi="Open Sans" w:cs="Open Sans"/>
          <w:color w:val="000000" w:themeColor="text1"/>
        </w:rPr>
      </w:pPr>
      <w:r>
        <w:rPr>
          <w:rFonts w:ascii="Open Sans" w:eastAsia="Times New Roman" w:hAnsi="Open Sans" w:cs="Open Sans"/>
          <w:lang w:eastAsia="pl-PL"/>
        </w:rPr>
        <w:t xml:space="preserve">„(…) </w:t>
      </w:r>
      <w:r w:rsidRPr="00F969BA">
        <w:rPr>
          <w:rFonts w:ascii="Open Sans" w:hAnsi="Open Sans" w:cs="Open Sans"/>
          <w:color w:val="000000" w:themeColor="text1"/>
        </w:rPr>
        <w:t xml:space="preserve">Beneficjent jest zobowiązany do ustanowienia i wniesienia zabezpieczenia </w:t>
      </w:r>
      <w:r w:rsidRPr="00F969BA">
        <w:rPr>
          <w:rFonts w:ascii="Open Sans" w:hAnsi="Open Sans" w:cs="Open Sans"/>
        </w:rPr>
        <w:t>należytego wykonania zobowiązań wynikających z umowy na kwotę wartości dofinansowania w formie weksla in blanco opatrzonego klauzulą „nie na zlecenie” wraz z deklaracją wekslową</w:t>
      </w:r>
      <w:r w:rsidRPr="00F969BA">
        <w:rPr>
          <w:rFonts w:ascii="Open Sans" w:hAnsi="Open Sans" w:cs="Open Sans"/>
          <w:color w:val="000000" w:themeColor="text1"/>
          <w:vertAlign w:val="superscript"/>
        </w:rPr>
        <w:footnoteReference w:id="1"/>
      </w:r>
      <w:r w:rsidRPr="00F969BA">
        <w:rPr>
          <w:rFonts w:ascii="Open Sans" w:hAnsi="Open Sans" w:cs="Open Sans"/>
          <w:color w:val="000000" w:themeColor="text1"/>
        </w:rPr>
        <w:t>.</w:t>
      </w:r>
    </w:p>
    <w:p w14:paraId="18A6EC0A" w14:textId="35EDDDCA" w:rsidR="00F969BA" w:rsidRDefault="00F969BA" w:rsidP="00F969BA">
      <w:pPr>
        <w:suppressAutoHyphens/>
        <w:autoSpaceDN w:val="0"/>
        <w:spacing w:before="120" w:after="120"/>
        <w:contextualSpacing/>
        <w:textAlignment w:val="baseline"/>
        <w:rPr>
          <w:rFonts w:ascii="Open Sans" w:eastAsia="Calibri" w:hAnsi="Open Sans" w:cs="Open Sans"/>
          <w:kern w:val="3"/>
          <w:lang w:eastAsia="ar-SA"/>
        </w:rPr>
      </w:pPr>
      <w:r w:rsidRPr="00F969BA">
        <w:rPr>
          <w:rFonts w:ascii="Open Sans" w:eastAsia="Calibri" w:hAnsi="Open Sans" w:cs="Open Sans"/>
          <w:kern w:val="3"/>
          <w:lang w:eastAsia="ar-SA"/>
        </w:rPr>
        <w:t>W przypadku gdy wartość dofinansowania Projektu udzielonego w formie zaliczki lub wartość dofinansowania Projektu po zsumowaniu z innymi wartościami dofinansowania Projektów, które są realizowane równolegle w czasie przez beneficjenta na podstawie umów zawartych z IZ współfinansowanych ze środków EFS+ przekracza limit 10 milionów złotych, stosuje się zapisy wskazane w rozporządzeniu ministra właściwego ds. rozwoju regionalnego wydanym na podstawie art. 189 ust. 4 ustawy o finansach publicznych.</w:t>
      </w:r>
      <w:r>
        <w:rPr>
          <w:rFonts w:ascii="Open Sans" w:eastAsia="Calibri" w:hAnsi="Open Sans" w:cs="Open Sans"/>
          <w:kern w:val="3"/>
          <w:lang w:eastAsia="ar-SA"/>
        </w:rPr>
        <w:t>(…)”.</w:t>
      </w:r>
    </w:p>
    <w:p w14:paraId="0213FC05" w14:textId="77777777" w:rsidR="00F969BA" w:rsidRDefault="00F969BA" w:rsidP="00F969BA">
      <w:pPr>
        <w:suppressAutoHyphens/>
        <w:autoSpaceDN w:val="0"/>
        <w:spacing w:before="120" w:after="120"/>
        <w:contextualSpacing/>
        <w:textAlignment w:val="baseline"/>
        <w:rPr>
          <w:rFonts w:ascii="Open Sans" w:eastAsia="Calibri" w:hAnsi="Open Sans" w:cs="Open Sans"/>
          <w:kern w:val="3"/>
          <w:lang w:eastAsia="ar-SA"/>
        </w:rPr>
      </w:pPr>
    </w:p>
    <w:p w14:paraId="35E0B46B" w14:textId="58D86E80" w:rsidR="00F969BA" w:rsidRPr="004C7385" w:rsidRDefault="00F969BA" w:rsidP="00F969BA">
      <w:pPr>
        <w:suppressAutoHyphens/>
        <w:autoSpaceDN w:val="0"/>
        <w:spacing w:before="120" w:after="120"/>
        <w:contextualSpacing/>
        <w:textAlignment w:val="baseline"/>
        <w:rPr>
          <w:rFonts w:ascii="Open Sans" w:eastAsia="Calibri" w:hAnsi="Open Sans" w:cs="Open Sans"/>
          <w:b/>
          <w:bCs/>
          <w:kern w:val="3"/>
          <w:lang w:eastAsia="ar-SA"/>
        </w:rPr>
      </w:pPr>
      <w:r w:rsidRPr="004C7385">
        <w:rPr>
          <w:rFonts w:ascii="Open Sans" w:eastAsia="Calibri" w:hAnsi="Open Sans" w:cs="Open Sans"/>
          <w:b/>
          <w:bCs/>
          <w:kern w:val="3"/>
          <w:lang w:eastAsia="ar-SA"/>
        </w:rPr>
        <w:t>Jest:</w:t>
      </w:r>
    </w:p>
    <w:p w14:paraId="120DFDC7" w14:textId="22EF7A12" w:rsidR="00F969BA" w:rsidRPr="004C7385" w:rsidRDefault="00F969BA" w:rsidP="00F969BA">
      <w:pPr>
        <w:suppressAutoHyphens/>
        <w:autoSpaceDN w:val="0"/>
        <w:spacing w:before="120" w:after="120"/>
        <w:contextualSpacing/>
        <w:textAlignment w:val="baseline"/>
        <w:rPr>
          <w:rFonts w:ascii="Open Sans" w:eastAsia="Calibri" w:hAnsi="Open Sans" w:cs="Open Sans"/>
          <w:kern w:val="3"/>
          <w:lang w:eastAsia="ar-SA"/>
        </w:rPr>
      </w:pPr>
      <w:r>
        <w:rPr>
          <w:rFonts w:ascii="Open Sans" w:eastAsia="Calibri" w:hAnsi="Open Sans" w:cs="Open Sans"/>
          <w:kern w:val="3"/>
          <w:lang w:eastAsia="ar-SA"/>
        </w:rPr>
        <w:t>„(…)</w:t>
      </w:r>
      <w:r w:rsidR="004C7385">
        <w:rPr>
          <w:rFonts w:ascii="Open Sans" w:eastAsia="Calibri" w:hAnsi="Open Sans" w:cs="Open Sans"/>
          <w:kern w:val="3"/>
          <w:lang w:eastAsia="ar-SA"/>
        </w:rPr>
        <w:t xml:space="preserve"> </w:t>
      </w:r>
      <w:r w:rsidRPr="00F969BA">
        <w:rPr>
          <w:rFonts w:ascii="Open Sans" w:eastAsia="Times New Roman" w:hAnsi="Open Sans" w:cs="Open Sans"/>
          <w:lang w:eastAsia="pl-PL"/>
        </w:rPr>
        <w:t>Beneficjent jest zobowiązany do ustanowienia i wniesienia zabezpieczenia należytego wykonania zobowiązań wynikających z umowy na kwotę wartości dofinansowania w formie weksla in blanco opatrzonego klauzulą „nie na zlecenie” wraz z deklaracją wekslową.</w:t>
      </w:r>
      <w:r>
        <w:rPr>
          <w:rFonts w:ascii="Open Sans" w:eastAsia="Times New Roman" w:hAnsi="Open Sans" w:cs="Open Sans"/>
          <w:lang w:eastAsia="pl-PL"/>
        </w:rPr>
        <w:t xml:space="preserve"> (…)”</w:t>
      </w:r>
    </w:p>
    <w:p w14:paraId="2163B35B" w14:textId="77777777" w:rsidR="004C7385" w:rsidRDefault="004C7385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lang w:eastAsia="pl-PL"/>
        </w:rPr>
      </w:pPr>
    </w:p>
    <w:p w14:paraId="75FA5A58" w14:textId="77777777" w:rsidR="00DF454D" w:rsidRDefault="00DF454D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b/>
          <w:bCs/>
          <w:lang w:eastAsia="pl-PL"/>
        </w:rPr>
      </w:pPr>
    </w:p>
    <w:p w14:paraId="55AFA793" w14:textId="7F9E4642" w:rsidR="00F969BA" w:rsidRPr="004C7385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b/>
          <w:bCs/>
          <w:lang w:eastAsia="pl-PL"/>
        </w:rPr>
      </w:pPr>
      <w:r w:rsidRPr="004C7385">
        <w:rPr>
          <w:rFonts w:ascii="Open Sans" w:eastAsia="Times New Roman" w:hAnsi="Open Sans" w:cs="Open Sans"/>
          <w:b/>
          <w:bCs/>
          <w:lang w:eastAsia="pl-PL"/>
        </w:rPr>
        <w:lastRenderedPageBreak/>
        <w:t>Uzasadnienie:</w:t>
      </w:r>
    </w:p>
    <w:p w14:paraId="3170649F" w14:textId="656281AA" w:rsidR="004C7385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Zmiana polega na wykreśleniu zapisu, zgodnie z którym </w:t>
      </w:r>
      <w:r w:rsidR="007256CF">
        <w:rPr>
          <w:rFonts w:ascii="Open Sans" w:eastAsia="Times New Roman" w:hAnsi="Open Sans" w:cs="Open Sans"/>
          <w:lang w:eastAsia="pl-PL"/>
        </w:rPr>
        <w:t xml:space="preserve">gdy </w:t>
      </w:r>
      <w:r w:rsidRPr="00F969BA">
        <w:rPr>
          <w:rFonts w:ascii="Open Sans" w:eastAsia="Times New Roman" w:hAnsi="Open Sans" w:cs="Open Sans"/>
          <w:lang w:eastAsia="pl-PL"/>
        </w:rPr>
        <w:t>wartość dofinansowania Projektu udzielonego w formie zaliczki lub wartość dofinansowania Projektu po zsumowaniu z innymi wartościami dofinansowania Projektów, które są realizowane równolegle w czasie przez beneficjenta na podstawie umów zawartych z IZ współfinansowanych ze środków EFS+ przekracza limit 10 milionów złotych, stosuje się zapisy wskazane w rozporządzeniu ministra właściwego ds. rozwoju regionalnego wydanym na podstawie art. 189 ust. 4 ustawy o finansach publicznych</w:t>
      </w:r>
      <w:r>
        <w:rPr>
          <w:rFonts w:ascii="Open Sans" w:eastAsia="Times New Roman" w:hAnsi="Open Sans" w:cs="Open Sans"/>
          <w:lang w:eastAsia="pl-PL"/>
        </w:rPr>
        <w:t>.</w:t>
      </w:r>
    </w:p>
    <w:p w14:paraId="394AEDD5" w14:textId="67DD7207" w:rsidR="00F969BA" w:rsidRPr="00F969BA" w:rsidRDefault="004C7385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A</w:t>
      </w:r>
      <w:r w:rsidR="00F969BA" w:rsidRPr="00F969BA">
        <w:rPr>
          <w:rFonts w:ascii="Open Sans" w:eastAsia="Times New Roman" w:hAnsi="Open Sans" w:cs="Open Sans"/>
          <w:lang w:eastAsia="pl-PL"/>
        </w:rPr>
        <w:t>kredytowane ośrodki</w:t>
      </w:r>
      <w:r w:rsidR="00F969BA">
        <w:rPr>
          <w:rFonts w:ascii="Open Sans" w:eastAsia="Times New Roman" w:hAnsi="Open Sans" w:cs="Open Sans"/>
          <w:lang w:eastAsia="pl-PL"/>
        </w:rPr>
        <w:t xml:space="preserve"> </w:t>
      </w:r>
      <w:r w:rsidR="00F969BA" w:rsidRPr="00F969BA">
        <w:rPr>
          <w:rFonts w:ascii="Open Sans" w:eastAsia="Times New Roman" w:hAnsi="Open Sans" w:cs="Open Sans"/>
          <w:lang w:eastAsia="pl-PL"/>
        </w:rPr>
        <w:t>wsparcia ekonomii społecznej, realizując usługi wsparcia podmiotów ekonomii</w:t>
      </w:r>
      <w:r w:rsidR="00F969BA">
        <w:rPr>
          <w:rFonts w:ascii="Open Sans" w:eastAsia="Times New Roman" w:hAnsi="Open Sans" w:cs="Open Sans"/>
          <w:lang w:eastAsia="pl-PL"/>
        </w:rPr>
        <w:t xml:space="preserve"> </w:t>
      </w:r>
      <w:r w:rsidR="00F969BA" w:rsidRPr="00F969BA">
        <w:rPr>
          <w:rFonts w:ascii="Open Sans" w:eastAsia="Times New Roman" w:hAnsi="Open Sans" w:cs="Open Sans"/>
          <w:lang w:eastAsia="pl-PL"/>
        </w:rPr>
        <w:t>społecznej, o których mowa w art. 29 ust 1. ustawy o ekonomii społecznej,</w:t>
      </w:r>
      <w:r w:rsidR="00F969BA">
        <w:rPr>
          <w:rFonts w:ascii="Open Sans" w:eastAsia="Times New Roman" w:hAnsi="Open Sans" w:cs="Open Sans"/>
          <w:lang w:eastAsia="pl-PL"/>
        </w:rPr>
        <w:t xml:space="preserve"> </w:t>
      </w:r>
      <w:r w:rsidR="00F969BA" w:rsidRPr="00F969BA">
        <w:rPr>
          <w:rFonts w:ascii="Open Sans" w:eastAsia="Times New Roman" w:hAnsi="Open Sans" w:cs="Open Sans"/>
          <w:lang w:eastAsia="pl-PL"/>
        </w:rPr>
        <w:t>podlegają regulacji przewidzianej w § 5 ust. 2 pkt 2 rozporządzenia Ministra</w:t>
      </w:r>
    </w:p>
    <w:p w14:paraId="264A1176" w14:textId="1D3C8D40" w:rsidR="00F969BA" w:rsidRDefault="00F969BA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lang w:eastAsia="pl-PL"/>
        </w:rPr>
      </w:pPr>
      <w:r w:rsidRPr="00F969BA">
        <w:rPr>
          <w:rFonts w:ascii="Open Sans" w:eastAsia="Times New Roman" w:hAnsi="Open Sans" w:cs="Open Sans"/>
          <w:lang w:eastAsia="pl-PL"/>
        </w:rPr>
        <w:t>Funduszy i Polityki Regionalnej z dnia 21 września 2022 r. w sprawie zaliczek w</w:t>
      </w:r>
      <w:r w:rsidR="004C7385">
        <w:rPr>
          <w:rFonts w:ascii="Open Sans" w:eastAsia="Times New Roman" w:hAnsi="Open Sans" w:cs="Open Sans"/>
          <w:lang w:eastAsia="pl-PL"/>
        </w:rPr>
        <w:t xml:space="preserve"> </w:t>
      </w:r>
      <w:r w:rsidRPr="00F969BA">
        <w:rPr>
          <w:rFonts w:ascii="Open Sans" w:eastAsia="Times New Roman" w:hAnsi="Open Sans" w:cs="Open Sans"/>
          <w:lang w:eastAsia="pl-PL"/>
        </w:rPr>
        <w:t>ramach programów finansowanych z udziałem środków europejskich</w:t>
      </w:r>
      <w:r>
        <w:rPr>
          <w:rFonts w:ascii="Open Sans" w:eastAsia="Times New Roman" w:hAnsi="Open Sans" w:cs="Open Sans"/>
          <w:lang w:eastAsia="pl-PL"/>
        </w:rPr>
        <w:t xml:space="preserve">. W związku z tym z tym </w:t>
      </w:r>
      <w:r w:rsidRPr="00F969BA">
        <w:rPr>
          <w:rFonts w:ascii="Open Sans" w:eastAsia="Times New Roman" w:hAnsi="Open Sans" w:cs="Open Sans"/>
          <w:lang w:eastAsia="pl-PL"/>
        </w:rPr>
        <w:t>zabezpieczenie jest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Pr="00F969BA">
        <w:rPr>
          <w:rFonts w:ascii="Open Sans" w:eastAsia="Times New Roman" w:hAnsi="Open Sans" w:cs="Open Sans"/>
          <w:lang w:eastAsia="pl-PL"/>
        </w:rPr>
        <w:t>ustanawiane w formie weksla in blanco wraz z deklaracją wekslową</w:t>
      </w:r>
      <w:r>
        <w:rPr>
          <w:rFonts w:ascii="Open Sans" w:eastAsia="Times New Roman" w:hAnsi="Open Sans" w:cs="Open Sans"/>
          <w:lang w:eastAsia="pl-PL"/>
        </w:rPr>
        <w:t>.</w:t>
      </w:r>
      <w:r w:rsidRPr="00F969BA">
        <w:rPr>
          <w:rFonts w:ascii="Open Sans" w:eastAsia="Times New Roman" w:hAnsi="Open Sans" w:cs="Open Sans"/>
          <w:lang w:eastAsia="pl-PL"/>
        </w:rPr>
        <w:t xml:space="preserve"> </w:t>
      </w:r>
    </w:p>
    <w:p w14:paraId="6CC28DB8" w14:textId="77777777" w:rsidR="004C7385" w:rsidRPr="00F969BA" w:rsidRDefault="004C7385" w:rsidP="00F969BA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lang w:eastAsia="pl-PL"/>
        </w:rPr>
      </w:pPr>
    </w:p>
    <w:p w14:paraId="063A6E9B" w14:textId="01207251" w:rsidR="004C7385" w:rsidRPr="004C7385" w:rsidRDefault="004C7385" w:rsidP="004C7385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Zmiana</w:t>
      </w:r>
      <w:r w:rsidRPr="004C7385">
        <w:rPr>
          <w:rFonts w:ascii="Open Sans" w:eastAsia="Times New Roman" w:hAnsi="Open Sans" w:cs="Open Sans"/>
          <w:lang w:eastAsia="pl-PL"/>
        </w:rPr>
        <w:t xml:space="preserve"> zapisów Regulaminu wyboru projektów</w:t>
      </w:r>
      <w:r>
        <w:rPr>
          <w:rFonts w:ascii="Open Sans" w:eastAsia="Times New Roman" w:hAnsi="Open Sans" w:cs="Open Sans"/>
          <w:lang w:eastAsia="pl-PL"/>
        </w:rPr>
        <w:t xml:space="preserve">  </w:t>
      </w:r>
      <w:r w:rsidRPr="004C7385">
        <w:rPr>
          <w:rFonts w:ascii="Open Sans" w:eastAsia="Times New Roman" w:hAnsi="Open Sans" w:cs="Open Sans"/>
          <w:lang w:eastAsia="pl-PL"/>
        </w:rPr>
        <w:t>nie powoduje zachwiania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Pr="004C7385">
        <w:rPr>
          <w:rFonts w:ascii="Open Sans" w:eastAsia="Times New Roman" w:hAnsi="Open Sans" w:cs="Open Sans"/>
          <w:lang w:eastAsia="pl-PL"/>
        </w:rPr>
        <w:t>konkurencyjności.</w:t>
      </w:r>
    </w:p>
    <w:p w14:paraId="26A2E904" w14:textId="68E9255C" w:rsidR="00F969BA" w:rsidRPr="00F969BA" w:rsidRDefault="004C7385" w:rsidP="004C7385">
      <w:pPr>
        <w:suppressAutoHyphens/>
        <w:autoSpaceDN w:val="0"/>
        <w:spacing w:before="120" w:after="120"/>
        <w:textAlignment w:val="baseline"/>
        <w:rPr>
          <w:rFonts w:ascii="Open Sans" w:eastAsia="Times New Roman" w:hAnsi="Open Sans" w:cs="Open Sans"/>
          <w:lang w:eastAsia="pl-PL"/>
        </w:rPr>
      </w:pPr>
      <w:r w:rsidRPr="004C7385">
        <w:rPr>
          <w:rFonts w:ascii="Open Sans" w:eastAsia="Times New Roman" w:hAnsi="Open Sans" w:cs="Open Sans"/>
          <w:lang w:eastAsia="pl-PL"/>
        </w:rPr>
        <w:t xml:space="preserve">W załączeniu uaktualniony w w/w zakresie Regulamin wyboru projektów obowiązujący od </w:t>
      </w:r>
      <w:r>
        <w:rPr>
          <w:rFonts w:ascii="Open Sans" w:eastAsia="Times New Roman" w:hAnsi="Open Sans" w:cs="Open Sans"/>
          <w:lang w:eastAsia="pl-PL"/>
        </w:rPr>
        <w:t>01.12</w:t>
      </w:r>
      <w:r w:rsidRPr="004C7385">
        <w:rPr>
          <w:rFonts w:ascii="Open Sans" w:eastAsia="Times New Roman" w:hAnsi="Open Sans" w:cs="Open Sans"/>
          <w:lang w:eastAsia="pl-PL"/>
        </w:rPr>
        <w:t>.2023 roku.</w:t>
      </w:r>
    </w:p>
    <w:sectPr w:rsidR="00F969BA" w:rsidRPr="00F969BA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8616" w14:textId="77777777" w:rsidR="0009388B" w:rsidRDefault="0009388B" w:rsidP="004D4C5C">
      <w:pPr>
        <w:spacing w:after="0" w:line="240" w:lineRule="auto"/>
      </w:pPr>
      <w:r>
        <w:separator/>
      </w:r>
    </w:p>
  </w:endnote>
  <w:endnote w:type="continuationSeparator" w:id="0">
    <w:p w14:paraId="0A62C7CF" w14:textId="77777777" w:rsidR="0009388B" w:rsidRDefault="0009388B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3567" w14:textId="77777777" w:rsidR="0009388B" w:rsidRDefault="0009388B" w:rsidP="004D4C5C">
      <w:pPr>
        <w:spacing w:after="0" w:line="240" w:lineRule="auto"/>
      </w:pPr>
      <w:r>
        <w:separator/>
      </w:r>
    </w:p>
  </w:footnote>
  <w:footnote w:type="continuationSeparator" w:id="0">
    <w:p w14:paraId="181947CD" w14:textId="77777777" w:rsidR="0009388B" w:rsidRDefault="0009388B" w:rsidP="004D4C5C">
      <w:pPr>
        <w:spacing w:after="0" w:line="240" w:lineRule="auto"/>
      </w:pPr>
      <w:r>
        <w:continuationSeparator/>
      </w:r>
    </w:p>
  </w:footnote>
  <w:footnote w:id="1">
    <w:p w14:paraId="3A2A47E6" w14:textId="77777777" w:rsidR="00F969BA" w:rsidRPr="00B820F1" w:rsidRDefault="00F969BA" w:rsidP="00F969BA">
      <w:pPr>
        <w:pStyle w:val="Tekstprzypisudolnego"/>
        <w:rPr>
          <w:rFonts w:ascii="Open Sans" w:hAnsi="Open Sans" w:cs="Open Sans"/>
          <w:sz w:val="16"/>
          <w:szCs w:val="16"/>
        </w:rPr>
      </w:pPr>
      <w:r w:rsidRPr="00B820F1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B820F1">
        <w:rPr>
          <w:rFonts w:ascii="Open Sans" w:hAnsi="Open Sans" w:cs="Open Sans"/>
          <w:sz w:val="16"/>
          <w:szCs w:val="16"/>
        </w:rPr>
        <w:t xml:space="preserve"> Zgodnie z art. 206 ust. 4 ustawy o finansach publicznych obowiązek ten nie dotyczy </w:t>
      </w:r>
      <w:r>
        <w:rPr>
          <w:rFonts w:ascii="Open Sans" w:hAnsi="Open Sans" w:cs="Open Sans"/>
          <w:sz w:val="16"/>
          <w:szCs w:val="16"/>
        </w:rPr>
        <w:t>b</w:t>
      </w:r>
      <w:r w:rsidRPr="00B820F1">
        <w:rPr>
          <w:rFonts w:ascii="Open Sans" w:hAnsi="Open Sans" w:cs="Open Sans"/>
          <w:sz w:val="16"/>
          <w:szCs w:val="16"/>
        </w:rPr>
        <w:t>eneficjenta będącego jednostką sektora finansów publicznych albo fundacją, której jedynym fundatorem jest Skarb Państwa, a także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35F2FEE2" w:rsidR="006F392D" w:rsidRDefault="00FF6540" w:rsidP="00AB19BD">
    <w:pPr>
      <w:pStyle w:val="Nagwek"/>
    </w:pPr>
    <w:r>
      <w:rPr>
        <w:noProof/>
      </w:rPr>
      <w:drawing>
        <wp:inline distT="0" distB="0" distL="0" distR="0" wp14:anchorId="4628FDCA" wp14:editId="410FB413">
          <wp:extent cx="5760720" cy="617855"/>
          <wp:effectExtent l="0" t="0" r="0" b="0"/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240" name="Obraz 144003548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7F5650"/>
    <w:multiLevelType w:val="hybridMultilevel"/>
    <w:tmpl w:val="ECC041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46164"/>
    <w:multiLevelType w:val="hybridMultilevel"/>
    <w:tmpl w:val="61127080"/>
    <w:lvl w:ilvl="0" w:tplc="B8ECA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17748"/>
    <w:multiLevelType w:val="hybridMultilevel"/>
    <w:tmpl w:val="FC446396"/>
    <w:lvl w:ilvl="0" w:tplc="B83453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9F5CD2"/>
    <w:multiLevelType w:val="multilevel"/>
    <w:tmpl w:val="8FE0E9E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8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7C0D"/>
    <w:multiLevelType w:val="hybridMultilevel"/>
    <w:tmpl w:val="7562AA74"/>
    <w:lvl w:ilvl="0" w:tplc="31D2A07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6AE179EB"/>
    <w:multiLevelType w:val="hybridMultilevel"/>
    <w:tmpl w:val="87402BA2"/>
    <w:lvl w:ilvl="0" w:tplc="C71E82E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17E4018"/>
    <w:multiLevelType w:val="hybridMultilevel"/>
    <w:tmpl w:val="E09C7B8E"/>
    <w:lvl w:ilvl="0" w:tplc="68B08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8"/>
  </w:num>
  <w:num w:numId="2" w16cid:durableId="1874344168">
    <w:abstractNumId w:val="11"/>
  </w:num>
  <w:num w:numId="3" w16cid:durableId="1764689786">
    <w:abstractNumId w:val="0"/>
  </w:num>
  <w:num w:numId="4" w16cid:durableId="1592276808">
    <w:abstractNumId w:val="18"/>
  </w:num>
  <w:num w:numId="5" w16cid:durableId="1979069175">
    <w:abstractNumId w:val="18"/>
  </w:num>
  <w:num w:numId="6" w16cid:durableId="459343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8"/>
  </w:num>
  <w:num w:numId="9" w16cid:durableId="1039742820">
    <w:abstractNumId w:val="17"/>
  </w:num>
  <w:num w:numId="10" w16cid:durableId="833227108">
    <w:abstractNumId w:val="19"/>
  </w:num>
  <w:num w:numId="11" w16cid:durableId="1460218249">
    <w:abstractNumId w:val="19"/>
  </w:num>
  <w:num w:numId="12" w16cid:durableId="604504604">
    <w:abstractNumId w:val="17"/>
  </w:num>
  <w:num w:numId="13" w16cid:durableId="1030960806">
    <w:abstractNumId w:val="2"/>
  </w:num>
  <w:num w:numId="14" w16cid:durableId="1345747920">
    <w:abstractNumId w:val="4"/>
  </w:num>
  <w:num w:numId="15" w16cid:durableId="1975987831">
    <w:abstractNumId w:val="8"/>
  </w:num>
  <w:num w:numId="16" w16cid:durableId="1712921111">
    <w:abstractNumId w:val="12"/>
  </w:num>
  <w:num w:numId="17" w16cid:durableId="245506569">
    <w:abstractNumId w:val="13"/>
  </w:num>
  <w:num w:numId="18" w16cid:durableId="164437809">
    <w:abstractNumId w:val="9"/>
  </w:num>
  <w:num w:numId="19" w16cid:durableId="1261909222">
    <w:abstractNumId w:val="16"/>
  </w:num>
  <w:num w:numId="20" w16cid:durableId="589968766">
    <w:abstractNumId w:val="20"/>
  </w:num>
  <w:num w:numId="21" w16cid:durableId="1945116145">
    <w:abstractNumId w:val="1"/>
  </w:num>
  <w:num w:numId="22" w16cid:durableId="701439291">
    <w:abstractNumId w:val="14"/>
  </w:num>
  <w:num w:numId="23" w16cid:durableId="649942776">
    <w:abstractNumId w:val="3"/>
  </w:num>
  <w:num w:numId="24" w16cid:durableId="2024436156">
    <w:abstractNumId w:val="15"/>
  </w:num>
  <w:num w:numId="25" w16cid:durableId="1008753482">
    <w:abstractNumId w:val="5"/>
  </w:num>
  <w:num w:numId="26" w16cid:durableId="1197040292">
    <w:abstractNumId w:val="7"/>
  </w:num>
  <w:num w:numId="27" w16cid:durableId="1374503411">
    <w:abstractNumId w:val="10"/>
  </w:num>
  <w:num w:numId="28" w16cid:durableId="1722361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9388B"/>
    <w:rsid w:val="000A1FB8"/>
    <w:rsid w:val="000A78AA"/>
    <w:rsid w:val="000C14AF"/>
    <w:rsid w:val="000C4933"/>
    <w:rsid w:val="00107481"/>
    <w:rsid w:val="00110BBC"/>
    <w:rsid w:val="00122864"/>
    <w:rsid w:val="0014242A"/>
    <w:rsid w:val="00146859"/>
    <w:rsid w:val="001576F7"/>
    <w:rsid w:val="001C0C20"/>
    <w:rsid w:val="001C2A18"/>
    <w:rsid w:val="001F3A72"/>
    <w:rsid w:val="002306BD"/>
    <w:rsid w:val="00233E03"/>
    <w:rsid w:val="00237054"/>
    <w:rsid w:val="00274757"/>
    <w:rsid w:val="00293D87"/>
    <w:rsid w:val="002A038A"/>
    <w:rsid w:val="002A056B"/>
    <w:rsid w:val="002C0C2B"/>
    <w:rsid w:val="00301091"/>
    <w:rsid w:val="00305C7F"/>
    <w:rsid w:val="00306913"/>
    <w:rsid w:val="003507C9"/>
    <w:rsid w:val="00357C6B"/>
    <w:rsid w:val="00382987"/>
    <w:rsid w:val="003836EB"/>
    <w:rsid w:val="003926C1"/>
    <w:rsid w:val="003B232B"/>
    <w:rsid w:val="003B3ADF"/>
    <w:rsid w:val="003D6485"/>
    <w:rsid w:val="003E39B3"/>
    <w:rsid w:val="00412B49"/>
    <w:rsid w:val="00435EDE"/>
    <w:rsid w:val="0044721F"/>
    <w:rsid w:val="004538F3"/>
    <w:rsid w:val="0045777F"/>
    <w:rsid w:val="00472977"/>
    <w:rsid w:val="0047621C"/>
    <w:rsid w:val="00487D3A"/>
    <w:rsid w:val="00492BED"/>
    <w:rsid w:val="004A16AA"/>
    <w:rsid w:val="004B33B1"/>
    <w:rsid w:val="004C0C5A"/>
    <w:rsid w:val="004C2456"/>
    <w:rsid w:val="004C7385"/>
    <w:rsid w:val="004D20FB"/>
    <w:rsid w:val="004D4C5C"/>
    <w:rsid w:val="004E0C64"/>
    <w:rsid w:val="004E3247"/>
    <w:rsid w:val="004E56D5"/>
    <w:rsid w:val="005175AE"/>
    <w:rsid w:val="00517EAD"/>
    <w:rsid w:val="005260AD"/>
    <w:rsid w:val="00527150"/>
    <w:rsid w:val="005A46BB"/>
    <w:rsid w:val="005B2F07"/>
    <w:rsid w:val="005C2142"/>
    <w:rsid w:val="005F0D74"/>
    <w:rsid w:val="005F3761"/>
    <w:rsid w:val="00605BB1"/>
    <w:rsid w:val="00651AF9"/>
    <w:rsid w:val="00662ED0"/>
    <w:rsid w:val="006A7318"/>
    <w:rsid w:val="006C189A"/>
    <w:rsid w:val="006E0050"/>
    <w:rsid w:val="006E2658"/>
    <w:rsid w:val="006E2DFE"/>
    <w:rsid w:val="006F36D0"/>
    <w:rsid w:val="006F392D"/>
    <w:rsid w:val="007015E1"/>
    <w:rsid w:val="007256CF"/>
    <w:rsid w:val="00745CEA"/>
    <w:rsid w:val="00747B76"/>
    <w:rsid w:val="00750CDE"/>
    <w:rsid w:val="00771C60"/>
    <w:rsid w:val="007A7921"/>
    <w:rsid w:val="007C6E6E"/>
    <w:rsid w:val="007E3521"/>
    <w:rsid w:val="00806B37"/>
    <w:rsid w:val="00831267"/>
    <w:rsid w:val="00831783"/>
    <w:rsid w:val="00854AA2"/>
    <w:rsid w:val="00856E5B"/>
    <w:rsid w:val="008852AC"/>
    <w:rsid w:val="008C07E6"/>
    <w:rsid w:val="008C2399"/>
    <w:rsid w:val="008D3669"/>
    <w:rsid w:val="008D3C9F"/>
    <w:rsid w:val="00926CB8"/>
    <w:rsid w:val="0093541E"/>
    <w:rsid w:val="009410FA"/>
    <w:rsid w:val="009560DB"/>
    <w:rsid w:val="00962D53"/>
    <w:rsid w:val="00983C5E"/>
    <w:rsid w:val="009B76B5"/>
    <w:rsid w:val="009C202E"/>
    <w:rsid w:val="009F0CCF"/>
    <w:rsid w:val="009F2401"/>
    <w:rsid w:val="00A0210F"/>
    <w:rsid w:val="00A057E6"/>
    <w:rsid w:val="00A1368B"/>
    <w:rsid w:val="00A40DA4"/>
    <w:rsid w:val="00A51C37"/>
    <w:rsid w:val="00A54D3C"/>
    <w:rsid w:val="00AA38AD"/>
    <w:rsid w:val="00AB19BD"/>
    <w:rsid w:val="00AC1222"/>
    <w:rsid w:val="00AE7707"/>
    <w:rsid w:val="00B067A0"/>
    <w:rsid w:val="00B1050A"/>
    <w:rsid w:val="00B20E61"/>
    <w:rsid w:val="00B23BE6"/>
    <w:rsid w:val="00B24F0C"/>
    <w:rsid w:val="00B42802"/>
    <w:rsid w:val="00B7652E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22758"/>
    <w:rsid w:val="00C416BB"/>
    <w:rsid w:val="00C47782"/>
    <w:rsid w:val="00C81408"/>
    <w:rsid w:val="00C815C8"/>
    <w:rsid w:val="00C8713B"/>
    <w:rsid w:val="00C93AD3"/>
    <w:rsid w:val="00CB0F21"/>
    <w:rsid w:val="00CD5591"/>
    <w:rsid w:val="00CF43AD"/>
    <w:rsid w:val="00D10AC5"/>
    <w:rsid w:val="00D172D6"/>
    <w:rsid w:val="00D213A0"/>
    <w:rsid w:val="00D46D18"/>
    <w:rsid w:val="00D60387"/>
    <w:rsid w:val="00D86408"/>
    <w:rsid w:val="00DA75A7"/>
    <w:rsid w:val="00DC1D73"/>
    <w:rsid w:val="00DD04DE"/>
    <w:rsid w:val="00DE24FD"/>
    <w:rsid w:val="00DE7147"/>
    <w:rsid w:val="00DF454D"/>
    <w:rsid w:val="00E014F7"/>
    <w:rsid w:val="00E32EAC"/>
    <w:rsid w:val="00E848AA"/>
    <w:rsid w:val="00E91466"/>
    <w:rsid w:val="00E97703"/>
    <w:rsid w:val="00EB4FD5"/>
    <w:rsid w:val="00ED05F9"/>
    <w:rsid w:val="00EE2B58"/>
    <w:rsid w:val="00F11A24"/>
    <w:rsid w:val="00F206FD"/>
    <w:rsid w:val="00F2330B"/>
    <w:rsid w:val="00F41F1D"/>
    <w:rsid w:val="00F60D0B"/>
    <w:rsid w:val="00F945C6"/>
    <w:rsid w:val="00F969BA"/>
    <w:rsid w:val="00FD0BDB"/>
    <w:rsid w:val="00FF4711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9B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E7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E7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507C9"/>
    <w:pPr>
      <w:spacing w:after="0" w:line="240" w:lineRule="auto"/>
    </w:pPr>
  </w:style>
  <w:style w:type="paragraph" w:styleId="Lista3">
    <w:name w:val="List 3"/>
    <w:basedOn w:val="Normalny"/>
    <w:uiPriority w:val="99"/>
    <w:unhideWhenUsed/>
    <w:rsid w:val="00F969BA"/>
    <w:pPr>
      <w:suppressAutoHyphens/>
      <w:autoSpaceDN w:val="0"/>
      <w:spacing w:after="160" w:line="240" w:lineRule="auto"/>
      <w:ind w:left="849" w:hanging="283"/>
      <w:contextualSpacing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EFSV</cp:lastModifiedBy>
  <cp:revision>24</cp:revision>
  <cp:lastPrinted>2023-10-18T09:47:00Z</cp:lastPrinted>
  <dcterms:created xsi:type="dcterms:W3CDTF">2023-11-08T09:01:00Z</dcterms:created>
  <dcterms:modified xsi:type="dcterms:W3CDTF">2023-12-01T12:26:00Z</dcterms:modified>
</cp:coreProperties>
</file>